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859D" w14:textId="77777777" w:rsidR="00E00EC5" w:rsidRDefault="00E00EC5" w:rsidP="00E00EC5">
      <w:pPr>
        <w:spacing w:after="0"/>
        <w:rPr>
          <w:rFonts w:ascii="Arial" w:hAnsi="Arial" w:cs="Arial"/>
          <w:sz w:val="28"/>
          <w:szCs w:val="28"/>
          <w:lang w:val="el-GR"/>
        </w:rPr>
      </w:pPr>
      <w:bookmarkStart w:id="0" w:name="_GoBack"/>
      <w:bookmarkEnd w:id="0"/>
      <w:r>
        <w:rPr>
          <w:rFonts w:ascii="Arial" w:hAnsi="Arial" w:cs="Arial"/>
          <w:sz w:val="28"/>
          <w:szCs w:val="28"/>
          <w:lang w:val="el-GR"/>
        </w:rPr>
        <w:t>ΑΝΩΤΑΤΟ ΔΙΚΑΣΤΗΡΙΟ ΚΥΠΡΟΥ</w:t>
      </w:r>
    </w:p>
    <w:p w14:paraId="640DB5B2" w14:textId="77777777" w:rsidR="00E00EC5" w:rsidRDefault="00E00EC5" w:rsidP="00E00EC5">
      <w:pPr>
        <w:spacing w:after="0"/>
        <w:rPr>
          <w:rFonts w:ascii="Arial" w:hAnsi="Arial" w:cs="Arial"/>
          <w:sz w:val="28"/>
          <w:szCs w:val="28"/>
          <w:lang w:val="el-GR"/>
        </w:rPr>
      </w:pPr>
      <w:r>
        <w:rPr>
          <w:rFonts w:ascii="Arial" w:hAnsi="Arial" w:cs="Arial"/>
          <w:sz w:val="28"/>
          <w:szCs w:val="28"/>
          <w:lang w:val="el-GR"/>
        </w:rPr>
        <w:t>ΠΡΩΤΟΒΑΘΜΙΑ ΔΙΚΑΙΟΔΟΣΙΑ</w:t>
      </w:r>
    </w:p>
    <w:p w14:paraId="7D004973" w14:textId="77777777" w:rsidR="00E00EC5" w:rsidRPr="00795FD4" w:rsidRDefault="00E00EC5" w:rsidP="00E00EC5">
      <w:pPr>
        <w:spacing w:after="0"/>
        <w:jc w:val="right"/>
        <w:rPr>
          <w:rFonts w:ascii="Arial" w:hAnsi="Arial" w:cs="Arial"/>
          <w:sz w:val="28"/>
          <w:szCs w:val="28"/>
          <w:lang w:val="el-GR"/>
        </w:rPr>
      </w:pPr>
      <w:r w:rsidRPr="00070547">
        <w:rPr>
          <w:rFonts w:ascii="Arial" w:hAnsi="Arial" w:cs="Arial"/>
          <w:sz w:val="28"/>
          <w:szCs w:val="28"/>
          <w:lang w:val="en-US"/>
        </w:rPr>
        <w:t>i</w:t>
      </w:r>
      <w:r w:rsidRPr="00795FD4">
        <w:rPr>
          <w:rFonts w:ascii="Arial" w:hAnsi="Arial" w:cs="Arial"/>
          <w:sz w:val="28"/>
          <w:szCs w:val="28"/>
          <w:lang w:val="el-GR"/>
        </w:rPr>
        <w:t>-</w:t>
      </w:r>
      <w:r w:rsidRPr="00070547">
        <w:rPr>
          <w:rFonts w:ascii="Arial" w:hAnsi="Arial" w:cs="Arial"/>
          <w:sz w:val="28"/>
          <w:szCs w:val="28"/>
          <w:lang w:val="en-US"/>
        </w:rPr>
        <w:t>Justice</w:t>
      </w:r>
    </w:p>
    <w:p w14:paraId="0F0EAE2D" w14:textId="77777777" w:rsidR="00E00EC5" w:rsidRDefault="00E00EC5" w:rsidP="00E00EC5">
      <w:pPr>
        <w:spacing w:after="0"/>
        <w:jc w:val="right"/>
        <w:rPr>
          <w:rFonts w:ascii="Arial" w:hAnsi="Arial" w:cs="Arial"/>
          <w:i/>
          <w:sz w:val="28"/>
          <w:szCs w:val="28"/>
          <w:lang w:val="el-GR"/>
        </w:rPr>
      </w:pPr>
      <w:r>
        <w:rPr>
          <w:rFonts w:ascii="Arial" w:hAnsi="Arial" w:cs="Arial"/>
          <w:i/>
          <w:sz w:val="28"/>
          <w:szCs w:val="28"/>
          <w:lang w:val="el-GR"/>
        </w:rPr>
        <w:t xml:space="preserve">(Πολιτική </w:t>
      </w:r>
      <w:r>
        <w:rPr>
          <w:rFonts w:ascii="Arial" w:hAnsi="Arial" w:cs="Arial"/>
          <w:i/>
          <w:sz w:val="28"/>
          <w:szCs w:val="28"/>
        </w:rPr>
        <w:t>A</w:t>
      </w:r>
      <w:r>
        <w:rPr>
          <w:rFonts w:ascii="Arial" w:hAnsi="Arial" w:cs="Arial"/>
          <w:i/>
          <w:sz w:val="28"/>
          <w:szCs w:val="28"/>
          <w:lang w:val="el-GR"/>
        </w:rPr>
        <w:t xml:space="preserve">ίτηση Αρ. </w:t>
      </w:r>
      <w:r w:rsidRPr="00523FE9">
        <w:rPr>
          <w:rFonts w:ascii="Arial" w:hAnsi="Arial" w:cs="Arial"/>
          <w:i/>
          <w:sz w:val="28"/>
          <w:szCs w:val="28"/>
          <w:lang w:val="el-GR"/>
        </w:rPr>
        <w:t>1</w:t>
      </w:r>
      <w:r w:rsidRPr="00DB1129">
        <w:rPr>
          <w:rFonts w:ascii="Arial" w:hAnsi="Arial" w:cs="Arial"/>
          <w:i/>
          <w:sz w:val="28"/>
          <w:szCs w:val="28"/>
          <w:lang w:val="el-GR"/>
        </w:rPr>
        <w:t>01</w:t>
      </w:r>
      <w:r w:rsidRPr="00AC7A73">
        <w:rPr>
          <w:rFonts w:ascii="Arial" w:hAnsi="Arial" w:cs="Arial"/>
          <w:i/>
          <w:sz w:val="28"/>
          <w:szCs w:val="28"/>
          <w:lang w:val="el-GR"/>
        </w:rPr>
        <w:t>/202</w:t>
      </w:r>
      <w:r w:rsidRPr="00DB1129">
        <w:rPr>
          <w:rFonts w:ascii="Arial" w:hAnsi="Arial" w:cs="Arial"/>
          <w:i/>
          <w:sz w:val="28"/>
          <w:szCs w:val="28"/>
          <w:lang w:val="el-GR"/>
        </w:rPr>
        <w:t>3</w:t>
      </w:r>
      <w:r>
        <w:rPr>
          <w:rFonts w:ascii="Arial" w:hAnsi="Arial" w:cs="Arial"/>
          <w:i/>
          <w:sz w:val="28"/>
          <w:szCs w:val="28"/>
          <w:lang w:val="el-GR"/>
        </w:rPr>
        <w:t>)</w:t>
      </w:r>
    </w:p>
    <w:p w14:paraId="413CAF51" w14:textId="77777777" w:rsidR="00E00EC5" w:rsidRDefault="00E00EC5" w:rsidP="00E00EC5">
      <w:pPr>
        <w:spacing w:after="0"/>
        <w:jc w:val="right"/>
        <w:rPr>
          <w:rFonts w:ascii="Arial" w:hAnsi="Arial" w:cs="Arial"/>
          <w:i/>
          <w:sz w:val="28"/>
          <w:szCs w:val="28"/>
          <w:lang w:val="el-GR"/>
        </w:rPr>
      </w:pPr>
    </w:p>
    <w:p w14:paraId="501E8E64" w14:textId="77777777" w:rsidR="00E00EC5" w:rsidRDefault="00E00EC5" w:rsidP="00E00EC5">
      <w:pPr>
        <w:spacing w:after="0"/>
        <w:jc w:val="right"/>
        <w:rPr>
          <w:rFonts w:ascii="Arial" w:hAnsi="Arial" w:cs="Arial"/>
          <w:i/>
          <w:sz w:val="28"/>
          <w:szCs w:val="28"/>
          <w:lang w:val="el-GR"/>
        </w:rPr>
      </w:pPr>
    </w:p>
    <w:p w14:paraId="3F49759C" w14:textId="79E5F2EF" w:rsidR="00E00EC5" w:rsidRDefault="006B30B4" w:rsidP="00E00EC5">
      <w:pPr>
        <w:spacing w:after="0"/>
        <w:jc w:val="center"/>
        <w:rPr>
          <w:rFonts w:ascii="Arial" w:hAnsi="Arial" w:cs="Arial"/>
          <w:sz w:val="28"/>
          <w:szCs w:val="28"/>
          <w:lang w:val="el-GR"/>
        </w:rPr>
      </w:pPr>
      <w:r>
        <w:rPr>
          <w:rFonts w:ascii="Arial" w:hAnsi="Arial" w:cs="Arial"/>
          <w:sz w:val="28"/>
          <w:szCs w:val="28"/>
          <w:lang w:val="el-GR"/>
        </w:rPr>
        <w:t>1</w:t>
      </w:r>
      <w:r w:rsidR="005D0B65">
        <w:rPr>
          <w:rFonts w:ascii="Arial" w:hAnsi="Arial" w:cs="Arial"/>
          <w:sz w:val="28"/>
          <w:szCs w:val="28"/>
          <w:lang w:val="el-GR"/>
        </w:rPr>
        <w:t>5</w:t>
      </w:r>
      <w:r w:rsidR="00E00EC5">
        <w:rPr>
          <w:rFonts w:ascii="Arial" w:hAnsi="Arial" w:cs="Arial"/>
          <w:sz w:val="28"/>
          <w:szCs w:val="28"/>
          <w:lang w:val="el-GR"/>
        </w:rPr>
        <w:t xml:space="preserve"> Σεπτεμβρίου 2023</w:t>
      </w:r>
    </w:p>
    <w:p w14:paraId="0031AF01" w14:textId="77777777" w:rsidR="00E00EC5" w:rsidRPr="00523FE9" w:rsidRDefault="00E00EC5" w:rsidP="00E00EC5">
      <w:pPr>
        <w:spacing w:after="0"/>
        <w:jc w:val="center"/>
        <w:rPr>
          <w:rFonts w:ascii="Arial" w:hAnsi="Arial" w:cs="Arial"/>
          <w:sz w:val="28"/>
          <w:szCs w:val="28"/>
          <w:lang w:val="el-GR"/>
        </w:rPr>
      </w:pPr>
    </w:p>
    <w:p w14:paraId="0D1357DD" w14:textId="77777777" w:rsidR="00E00EC5" w:rsidRPr="00B63EDC" w:rsidRDefault="00E00EC5" w:rsidP="00E00EC5">
      <w:pPr>
        <w:spacing w:after="0"/>
        <w:jc w:val="center"/>
        <w:rPr>
          <w:rFonts w:ascii="Arial" w:hAnsi="Arial" w:cs="Arial"/>
          <w:sz w:val="28"/>
          <w:szCs w:val="28"/>
          <w:lang w:val="el-GR"/>
        </w:rPr>
      </w:pPr>
    </w:p>
    <w:p w14:paraId="3A1E69FE" w14:textId="77777777" w:rsidR="00E00EC5" w:rsidRDefault="00E00EC5" w:rsidP="00E00EC5">
      <w:pPr>
        <w:spacing w:after="0"/>
        <w:jc w:val="center"/>
        <w:rPr>
          <w:rFonts w:ascii="Arial" w:hAnsi="Arial" w:cs="Arial"/>
          <w:sz w:val="28"/>
          <w:szCs w:val="28"/>
          <w:lang w:val="el-GR"/>
        </w:rPr>
      </w:pPr>
      <w:r>
        <w:rPr>
          <w:rFonts w:ascii="Arial" w:hAnsi="Arial" w:cs="Arial"/>
          <w:sz w:val="28"/>
          <w:szCs w:val="28"/>
          <w:lang w:val="el-GR"/>
        </w:rPr>
        <w:t>[Χ. ΜΑΛΑΧΤΟΣ, Δ.]</w:t>
      </w:r>
    </w:p>
    <w:p w14:paraId="3BD4F9AD" w14:textId="77777777" w:rsidR="00E00EC5" w:rsidRDefault="00E00EC5" w:rsidP="00E00EC5">
      <w:pPr>
        <w:spacing w:after="0"/>
        <w:jc w:val="center"/>
        <w:rPr>
          <w:rFonts w:ascii="Arial" w:hAnsi="Arial" w:cs="Arial"/>
          <w:sz w:val="28"/>
          <w:szCs w:val="28"/>
          <w:lang w:val="el-GR"/>
        </w:rPr>
      </w:pPr>
    </w:p>
    <w:p w14:paraId="747B262E" w14:textId="77777777" w:rsidR="00E00EC5" w:rsidRDefault="00E00EC5" w:rsidP="00E00EC5">
      <w:pPr>
        <w:spacing w:after="0"/>
        <w:jc w:val="center"/>
        <w:rPr>
          <w:rFonts w:ascii="Arial" w:hAnsi="Arial" w:cs="Arial"/>
          <w:sz w:val="28"/>
          <w:szCs w:val="28"/>
          <w:lang w:val="el-GR"/>
        </w:rPr>
      </w:pPr>
    </w:p>
    <w:p w14:paraId="3374A5BA" w14:textId="77777777" w:rsidR="00E00EC5" w:rsidRDefault="00E00EC5" w:rsidP="00E00EC5">
      <w:pPr>
        <w:spacing w:after="0"/>
        <w:jc w:val="both"/>
        <w:rPr>
          <w:rFonts w:ascii="Arial" w:hAnsi="Arial" w:cs="Arial"/>
          <w:sz w:val="28"/>
          <w:szCs w:val="28"/>
          <w:lang w:val="el-GR"/>
        </w:rPr>
      </w:pPr>
      <w:r>
        <w:rPr>
          <w:rFonts w:ascii="Arial" w:hAnsi="Arial" w:cs="Arial"/>
          <w:sz w:val="28"/>
          <w:szCs w:val="28"/>
          <w:lang w:val="el-GR"/>
        </w:rPr>
        <w:t>ΑΝΑΦΟΡΙΚΑ ΜΕ ΤΟ ΑΡΘΡΟ 155.4 ΤΟΥ ΣΥΝΤΑΓΜΑΤΟΣ ΚΑΙ ΤΑ ΑΡΘΡΑ 3 ΚΑΙ 9 ΤΟΥ ΠΕΡΙ ΑΠΟΝΟΜΗΣ ΤΗΣ ΔΙΚΑΙΟΣΥΝΗΣ (ΠΟΙΚΙΛΑΙ ΔΙΑΤΑΞΕΙΣ) ΝΟΜΟΥ ΤΟΥ 1964 (Ν.33/1964)</w:t>
      </w:r>
    </w:p>
    <w:p w14:paraId="1D06A385" w14:textId="77777777" w:rsidR="00E00EC5" w:rsidRDefault="00E00EC5" w:rsidP="00E00EC5">
      <w:pPr>
        <w:spacing w:after="0"/>
        <w:jc w:val="both"/>
        <w:rPr>
          <w:rFonts w:ascii="Arial" w:hAnsi="Arial" w:cs="Arial"/>
          <w:sz w:val="28"/>
          <w:szCs w:val="28"/>
          <w:lang w:val="el-GR"/>
        </w:rPr>
      </w:pPr>
    </w:p>
    <w:p w14:paraId="22BBDBB7" w14:textId="77777777" w:rsidR="00E00EC5" w:rsidRDefault="00E00EC5" w:rsidP="00E00EC5">
      <w:pPr>
        <w:spacing w:after="0"/>
        <w:jc w:val="center"/>
        <w:rPr>
          <w:rFonts w:ascii="Arial" w:hAnsi="Arial" w:cs="Arial"/>
          <w:sz w:val="28"/>
          <w:szCs w:val="28"/>
          <w:lang w:val="el-GR"/>
        </w:rPr>
      </w:pPr>
      <w:r>
        <w:rPr>
          <w:rFonts w:ascii="Arial" w:hAnsi="Arial" w:cs="Arial"/>
          <w:sz w:val="28"/>
          <w:szCs w:val="28"/>
          <w:lang w:val="el-GR"/>
        </w:rPr>
        <w:t>ΚΑΙ</w:t>
      </w:r>
    </w:p>
    <w:p w14:paraId="1BE8D060" w14:textId="77777777" w:rsidR="00E00EC5" w:rsidRDefault="00E00EC5" w:rsidP="00E00EC5">
      <w:pPr>
        <w:spacing w:after="0"/>
        <w:jc w:val="center"/>
        <w:rPr>
          <w:rFonts w:ascii="Arial" w:hAnsi="Arial" w:cs="Arial"/>
          <w:sz w:val="28"/>
          <w:szCs w:val="28"/>
          <w:lang w:val="el-GR"/>
        </w:rPr>
      </w:pPr>
    </w:p>
    <w:p w14:paraId="4D8EC4FF" w14:textId="77777777" w:rsidR="00E00EC5" w:rsidRDefault="00E00EC5" w:rsidP="00E00EC5">
      <w:pPr>
        <w:spacing w:after="0"/>
        <w:jc w:val="both"/>
        <w:rPr>
          <w:rFonts w:ascii="Arial" w:hAnsi="Arial" w:cs="Arial"/>
          <w:sz w:val="28"/>
          <w:szCs w:val="28"/>
          <w:lang w:val="el-GR"/>
        </w:rPr>
      </w:pPr>
      <w:r>
        <w:rPr>
          <w:rFonts w:ascii="Arial" w:hAnsi="Arial" w:cs="Arial"/>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79284778" w14:textId="77777777" w:rsidR="00E00EC5" w:rsidRDefault="00E00EC5" w:rsidP="00E00EC5">
      <w:pPr>
        <w:spacing w:after="0"/>
        <w:jc w:val="center"/>
        <w:rPr>
          <w:rFonts w:ascii="Arial" w:hAnsi="Arial" w:cs="Arial"/>
          <w:sz w:val="28"/>
          <w:szCs w:val="28"/>
          <w:lang w:val="el-GR"/>
        </w:rPr>
      </w:pPr>
    </w:p>
    <w:p w14:paraId="194AC8D2" w14:textId="77777777" w:rsidR="00E00EC5" w:rsidRDefault="00E00EC5" w:rsidP="00E00EC5">
      <w:pPr>
        <w:spacing w:after="0"/>
        <w:jc w:val="center"/>
        <w:rPr>
          <w:rFonts w:ascii="Arial" w:hAnsi="Arial" w:cs="Arial"/>
          <w:sz w:val="28"/>
          <w:szCs w:val="28"/>
          <w:lang w:val="el-GR"/>
        </w:rPr>
      </w:pPr>
      <w:r>
        <w:rPr>
          <w:rFonts w:ascii="Arial" w:hAnsi="Arial" w:cs="Arial"/>
          <w:sz w:val="28"/>
          <w:szCs w:val="28"/>
          <w:lang w:val="el-GR"/>
        </w:rPr>
        <w:t>ΚΑΙ</w:t>
      </w:r>
    </w:p>
    <w:p w14:paraId="6506EE70" w14:textId="77777777" w:rsidR="00E00EC5" w:rsidRDefault="00E00EC5" w:rsidP="00E00EC5">
      <w:pPr>
        <w:spacing w:after="0"/>
        <w:jc w:val="center"/>
        <w:rPr>
          <w:rFonts w:ascii="Arial" w:hAnsi="Arial" w:cs="Arial"/>
          <w:sz w:val="28"/>
          <w:szCs w:val="28"/>
          <w:lang w:val="el-GR"/>
        </w:rPr>
      </w:pPr>
    </w:p>
    <w:p w14:paraId="55F629D5" w14:textId="77777777" w:rsidR="00E00EC5" w:rsidRDefault="00E00EC5" w:rsidP="00E00EC5">
      <w:pPr>
        <w:spacing w:after="0"/>
        <w:jc w:val="both"/>
        <w:rPr>
          <w:rFonts w:ascii="Arial" w:hAnsi="Arial" w:cs="Arial"/>
          <w:sz w:val="28"/>
          <w:szCs w:val="28"/>
          <w:lang w:val="el-GR"/>
        </w:rPr>
      </w:pPr>
      <w:r>
        <w:rPr>
          <w:rFonts w:ascii="Arial" w:hAnsi="Arial" w:cs="Arial"/>
          <w:sz w:val="28"/>
          <w:szCs w:val="28"/>
          <w:lang w:val="el-GR"/>
        </w:rPr>
        <w:t xml:space="preserve">ΑΝΑΦΟΡΙΚΑ ΜΕ ΤΗΝ ΑΙΤΗΣΗ ΤΟΥ </w:t>
      </w:r>
      <w:r>
        <w:rPr>
          <w:rFonts w:ascii="Arial" w:hAnsi="Arial" w:cs="Arial"/>
          <w:sz w:val="28"/>
          <w:szCs w:val="28"/>
          <w:lang w:val="en-US"/>
        </w:rPr>
        <w:t>SHAKER</w:t>
      </w:r>
      <w:r w:rsidRPr="00DB1129">
        <w:rPr>
          <w:rFonts w:ascii="Arial" w:hAnsi="Arial" w:cs="Arial"/>
          <w:sz w:val="28"/>
          <w:szCs w:val="28"/>
          <w:lang w:val="el-GR"/>
        </w:rPr>
        <w:t xml:space="preserve"> </w:t>
      </w:r>
      <w:r>
        <w:rPr>
          <w:rFonts w:ascii="Arial" w:hAnsi="Arial" w:cs="Arial"/>
          <w:sz w:val="28"/>
          <w:szCs w:val="28"/>
          <w:lang w:val="en-US"/>
        </w:rPr>
        <w:t>ALHASAN</w:t>
      </w:r>
      <w:r>
        <w:rPr>
          <w:rFonts w:ascii="Arial" w:hAnsi="Arial" w:cs="Arial"/>
          <w:sz w:val="28"/>
          <w:szCs w:val="28"/>
          <w:lang w:val="el-GR"/>
        </w:rPr>
        <w:t xml:space="preserve"> ΓΙΑ ΤΗΝ ΕΚΔΟΣΗ ΕΝΤΑΛΜΑΤΟΣ </w:t>
      </w:r>
      <w:r>
        <w:rPr>
          <w:rFonts w:ascii="Arial" w:hAnsi="Arial" w:cs="Arial"/>
          <w:sz w:val="28"/>
          <w:szCs w:val="28"/>
          <w:lang w:val="en-US"/>
        </w:rPr>
        <w:t>HABEAS</w:t>
      </w:r>
      <w:r w:rsidRPr="00DB1129">
        <w:rPr>
          <w:rFonts w:ascii="Arial" w:hAnsi="Arial" w:cs="Arial"/>
          <w:sz w:val="28"/>
          <w:szCs w:val="28"/>
          <w:lang w:val="el-GR"/>
        </w:rPr>
        <w:t xml:space="preserve"> </w:t>
      </w:r>
      <w:r>
        <w:rPr>
          <w:rFonts w:ascii="Arial" w:hAnsi="Arial" w:cs="Arial"/>
          <w:sz w:val="28"/>
          <w:szCs w:val="28"/>
          <w:lang w:val="en-US"/>
        </w:rPr>
        <w:t>CORPUS</w:t>
      </w:r>
    </w:p>
    <w:p w14:paraId="5FAFC6D7" w14:textId="77777777" w:rsidR="00E00EC5" w:rsidRDefault="00E00EC5" w:rsidP="00E00EC5">
      <w:pPr>
        <w:spacing w:after="0"/>
        <w:jc w:val="both"/>
        <w:rPr>
          <w:rFonts w:ascii="Arial" w:hAnsi="Arial" w:cs="Arial"/>
          <w:sz w:val="28"/>
          <w:szCs w:val="28"/>
          <w:lang w:val="el-GR"/>
        </w:rPr>
      </w:pPr>
    </w:p>
    <w:p w14:paraId="756C069C" w14:textId="77777777" w:rsidR="00E00EC5" w:rsidRDefault="00E00EC5" w:rsidP="00E00EC5">
      <w:pPr>
        <w:spacing w:after="0"/>
        <w:jc w:val="center"/>
        <w:rPr>
          <w:rFonts w:ascii="Arial" w:hAnsi="Arial" w:cs="Arial"/>
          <w:sz w:val="28"/>
          <w:szCs w:val="28"/>
          <w:lang w:val="el-GR"/>
        </w:rPr>
      </w:pPr>
      <w:r>
        <w:rPr>
          <w:rFonts w:ascii="Arial" w:hAnsi="Arial" w:cs="Arial"/>
          <w:sz w:val="28"/>
          <w:szCs w:val="28"/>
          <w:lang w:val="el-GR"/>
        </w:rPr>
        <w:t>ΚΑΙ</w:t>
      </w:r>
    </w:p>
    <w:p w14:paraId="4C468D13" w14:textId="77777777" w:rsidR="00E00EC5" w:rsidRPr="009E3692" w:rsidRDefault="00E00EC5" w:rsidP="00E00EC5">
      <w:pPr>
        <w:spacing w:after="0"/>
        <w:jc w:val="center"/>
        <w:rPr>
          <w:rFonts w:ascii="Arial" w:hAnsi="Arial" w:cs="Arial"/>
          <w:sz w:val="28"/>
          <w:szCs w:val="28"/>
          <w:lang w:val="el-GR"/>
        </w:rPr>
      </w:pPr>
    </w:p>
    <w:p w14:paraId="499EFC3A" w14:textId="77777777" w:rsidR="00E00EC5" w:rsidRDefault="00E00EC5" w:rsidP="00E00EC5">
      <w:pPr>
        <w:spacing w:after="0"/>
        <w:jc w:val="both"/>
        <w:rPr>
          <w:rFonts w:ascii="Arial" w:hAnsi="Arial" w:cs="Arial"/>
          <w:sz w:val="28"/>
          <w:szCs w:val="28"/>
          <w:lang w:val="el-GR"/>
        </w:rPr>
      </w:pPr>
      <w:r>
        <w:rPr>
          <w:rFonts w:ascii="Arial" w:hAnsi="Arial" w:cs="Arial"/>
          <w:sz w:val="28"/>
          <w:szCs w:val="28"/>
          <w:lang w:val="el-GR"/>
        </w:rPr>
        <w:t>ΑΝΑΦΟΡΙΚΑ ΜΕ ΤΟ ΣΥΝΤΑΓΜΑ ΤΗΣ ΚΥΠΡΙΑΚΗΣ ΔΗΜΟΚΡΑΤΙΑΣ, ΤΟΝ ΠΕΡΙ ΔΙΚΑΣΤΗΡΙΩΝ ΝΟΜΟ 14/60, ΤΩΝ ΠΕΡΙ ΑΠΟΝΟΜΗΣ ΤΗΣ ΔΙΚΑΙΟΣΥΝΗΣ (ΠΟΙΚΙΛΑΙ ΔΙΑΤΑΞΕΙΣ) ΝΟΜΩΝ ΤΟΥ 1964 ΜΕΧΡΙ 1991, ΤΗΝ ΕΥΡΩΠΑΪΚΗ ΣΥΜΒΑΣΗ ΓΙΑ ΤΗΝ ΠΡΟΑΣΠΙΣΗ ΤΩΝ ΑΝΘΡΩΠΙΝΩΝ ΔΙΚΑΙΩΜΑΤΩΝ, ΤΟΝ ΧΑΡΤΗ ΘΕΜΕΛΙΩΔΩΝ ΔΙΚΑΙΩΜΑΤΩΝ ΤΗΣ Ε.Ε., ΤΟΝ ΠΕΡΙ ΠΡΟΣΦΥΓΩΝ ΝΟΜΟ, ΤΗΝ ΟΔΗΓΙΑ 2013/33/ΕΕ ΣΧΕΤΙΚΑ ΜΕ ΤΙΣ ΑΠΑΙΤΗΣΕΙΣ ΓΙΑ ΤΗΝ ΥΠΟΔΟΧΗ ΤΩΝ ΑΙΤΟΥΝΤΩΝ ΔΙΕΘΝΗ ΠΡΟΣΤΑΣΙΑ</w:t>
      </w:r>
    </w:p>
    <w:p w14:paraId="733F0D3E" w14:textId="77777777" w:rsidR="00E00EC5" w:rsidRDefault="00E00EC5" w:rsidP="00E00EC5">
      <w:pPr>
        <w:spacing w:after="0"/>
        <w:jc w:val="center"/>
        <w:rPr>
          <w:rFonts w:ascii="Arial" w:hAnsi="Arial" w:cs="Arial"/>
          <w:sz w:val="28"/>
          <w:szCs w:val="28"/>
          <w:lang w:val="el-GR"/>
        </w:rPr>
      </w:pPr>
      <w:r>
        <w:rPr>
          <w:rFonts w:ascii="Arial" w:hAnsi="Arial" w:cs="Arial"/>
          <w:sz w:val="28"/>
          <w:szCs w:val="28"/>
          <w:lang w:val="el-GR"/>
        </w:rPr>
        <w:lastRenderedPageBreak/>
        <w:t>ΚΑΙ</w:t>
      </w:r>
    </w:p>
    <w:p w14:paraId="54EBEB00" w14:textId="77777777" w:rsidR="00E00EC5" w:rsidRDefault="00E00EC5" w:rsidP="00E00EC5">
      <w:pPr>
        <w:spacing w:after="0"/>
        <w:jc w:val="center"/>
        <w:rPr>
          <w:rFonts w:ascii="Arial" w:hAnsi="Arial" w:cs="Arial"/>
          <w:sz w:val="28"/>
          <w:szCs w:val="28"/>
          <w:lang w:val="el-GR"/>
        </w:rPr>
      </w:pPr>
    </w:p>
    <w:p w14:paraId="79A332FE" w14:textId="63A22874" w:rsidR="00E00EC5" w:rsidRDefault="00E00EC5" w:rsidP="00BD0E72">
      <w:pPr>
        <w:spacing w:after="0"/>
        <w:jc w:val="center"/>
        <w:rPr>
          <w:rFonts w:ascii="Arial" w:hAnsi="Arial" w:cs="Arial"/>
          <w:sz w:val="28"/>
          <w:szCs w:val="28"/>
          <w:lang w:val="el-GR"/>
        </w:rPr>
      </w:pPr>
      <w:r>
        <w:rPr>
          <w:rFonts w:ascii="Arial" w:hAnsi="Arial" w:cs="Arial"/>
          <w:sz w:val="28"/>
          <w:szCs w:val="28"/>
          <w:lang w:val="el-GR"/>
        </w:rPr>
        <w:t>ΑΝΑΦΟΡΙΚΑ ΜΕ ΤΗΝ ΚΥΠΡΙΑΚΗ ΔΗΜΟΚΡΑΤΙΑ, ΜΕΣΩ</w:t>
      </w:r>
    </w:p>
    <w:p w14:paraId="04E82BDE" w14:textId="77777777" w:rsidR="00E00EC5" w:rsidRDefault="00E00EC5" w:rsidP="00E00EC5">
      <w:pPr>
        <w:spacing w:after="0"/>
        <w:jc w:val="both"/>
        <w:rPr>
          <w:rFonts w:ascii="Arial" w:hAnsi="Arial" w:cs="Arial"/>
          <w:sz w:val="28"/>
          <w:szCs w:val="28"/>
          <w:lang w:val="el-GR"/>
        </w:rPr>
      </w:pPr>
    </w:p>
    <w:p w14:paraId="59E7A536" w14:textId="77777777" w:rsidR="00E00EC5" w:rsidRPr="00DB1129" w:rsidRDefault="00E00EC5" w:rsidP="00E00EC5">
      <w:pPr>
        <w:pStyle w:val="ListParagraph"/>
        <w:numPr>
          <w:ilvl w:val="0"/>
          <w:numId w:val="2"/>
        </w:numPr>
        <w:spacing w:after="0"/>
        <w:jc w:val="center"/>
        <w:rPr>
          <w:rFonts w:ascii="Arial" w:hAnsi="Arial" w:cs="Arial"/>
          <w:sz w:val="28"/>
          <w:szCs w:val="28"/>
          <w:lang w:val="el-GR"/>
        </w:rPr>
      </w:pPr>
      <w:r w:rsidRPr="00DB1129">
        <w:rPr>
          <w:rFonts w:ascii="Arial" w:hAnsi="Arial" w:cs="Arial"/>
          <w:sz w:val="28"/>
          <w:szCs w:val="28"/>
          <w:lang w:val="el-GR"/>
        </w:rPr>
        <w:t>ΑΡΧΗΓΟΥ ΑΣΤΥΝΟΜΙΑΣ</w:t>
      </w:r>
    </w:p>
    <w:p w14:paraId="26B9DFFC" w14:textId="77777777" w:rsidR="00E00EC5" w:rsidRDefault="00E00EC5" w:rsidP="00E00EC5">
      <w:pPr>
        <w:pStyle w:val="ListParagraph"/>
        <w:numPr>
          <w:ilvl w:val="0"/>
          <w:numId w:val="2"/>
        </w:numPr>
        <w:spacing w:after="0"/>
        <w:jc w:val="center"/>
        <w:rPr>
          <w:rFonts w:ascii="Arial" w:hAnsi="Arial" w:cs="Arial"/>
          <w:sz w:val="28"/>
          <w:szCs w:val="28"/>
          <w:lang w:val="el-GR"/>
        </w:rPr>
      </w:pPr>
      <w:r>
        <w:rPr>
          <w:rFonts w:ascii="Arial" w:hAnsi="Arial" w:cs="Arial"/>
          <w:sz w:val="28"/>
          <w:szCs w:val="28"/>
          <w:lang w:val="el-GR"/>
        </w:rPr>
        <w:t>ΥΠΟΥΡΓΟΥ ΕΣΩΤΕΡΙΚΩΝ</w:t>
      </w:r>
    </w:p>
    <w:p w14:paraId="43D29872" w14:textId="77777777" w:rsidR="00E00EC5" w:rsidRDefault="00E00EC5" w:rsidP="00BD0E72">
      <w:pPr>
        <w:pStyle w:val="ListParagraph"/>
        <w:spacing w:after="0"/>
        <w:jc w:val="center"/>
        <w:rPr>
          <w:rFonts w:ascii="Arial" w:hAnsi="Arial" w:cs="Arial"/>
          <w:sz w:val="28"/>
          <w:szCs w:val="28"/>
          <w:lang w:val="el-GR"/>
        </w:rPr>
      </w:pPr>
      <w:r>
        <w:rPr>
          <w:rFonts w:ascii="Arial" w:hAnsi="Arial" w:cs="Arial"/>
          <w:sz w:val="28"/>
          <w:szCs w:val="28"/>
          <w:lang w:val="el-GR"/>
        </w:rPr>
        <w:t>ΔΙΑ ΤΟΥ ΓΕΝΙΚΟΥ ΕΙΣΑΓΓΕΛΕΑ ΤΗΣ ΔΗΜΟΚΡΑΤΙΑΣ</w:t>
      </w:r>
    </w:p>
    <w:p w14:paraId="012F1559" w14:textId="77777777" w:rsidR="00E00EC5" w:rsidRDefault="00E00EC5" w:rsidP="00E00EC5">
      <w:pPr>
        <w:pStyle w:val="ListParagraph"/>
        <w:spacing w:after="0"/>
        <w:ind w:left="0"/>
        <w:jc w:val="right"/>
        <w:rPr>
          <w:rFonts w:ascii="Arial" w:hAnsi="Arial" w:cs="Arial"/>
          <w:sz w:val="28"/>
          <w:szCs w:val="28"/>
          <w:lang w:val="el-GR"/>
        </w:rPr>
      </w:pPr>
    </w:p>
    <w:p w14:paraId="0652B933" w14:textId="77777777" w:rsidR="00E00EC5" w:rsidRDefault="00E00EC5" w:rsidP="00E00EC5">
      <w:pPr>
        <w:pStyle w:val="ListParagraph"/>
        <w:spacing w:after="0"/>
        <w:ind w:left="0"/>
        <w:jc w:val="both"/>
        <w:rPr>
          <w:rFonts w:ascii="Arial" w:hAnsi="Arial" w:cs="Arial"/>
          <w:sz w:val="28"/>
          <w:szCs w:val="28"/>
          <w:lang w:val="el-GR"/>
        </w:rPr>
      </w:pPr>
      <w:r>
        <w:rPr>
          <w:rFonts w:ascii="Arial" w:hAnsi="Arial" w:cs="Arial"/>
          <w:sz w:val="28"/>
          <w:szCs w:val="28"/>
          <w:lang w:val="el-GR"/>
        </w:rPr>
        <w:t xml:space="preserve">ΟΙ ΟΠΟΙΟΙ ΠΑΡΑΝΟΜΑ ΣΥΝΕΧΙΖΟΥΝ ΝΑ ΕΧΟΥΝ ΥΠΟ ΚΡΑΤΗΣΗ ΤΟΝ </w:t>
      </w:r>
      <w:r>
        <w:rPr>
          <w:rFonts w:ascii="Arial" w:hAnsi="Arial" w:cs="Arial"/>
          <w:sz w:val="28"/>
          <w:szCs w:val="28"/>
          <w:lang w:val="en-US"/>
        </w:rPr>
        <w:t>SHAKER</w:t>
      </w:r>
      <w:r w:rsidRPr="00DB1129">
        <w:rPr>
          <w:rFonts w:ascii="Arial" w:hAnsi="Arial" w:cs="Arial"/>
          <w:sz w:val="28"/>
          <w:szCs w:val="28"/>
          <w:lang w:val="el-GR"/>
        </w:rPr>
        <w:t xml:space="preserve"> </w:t>
      </w:r>
      <w:r>
        <w:rPr>
          <w:rFonts w:ascii="Arial" w:hAnsi="Arial" w:cs="Arial"/>
          <w:sz w:val="28"/>
          <w:szCs w:val="28"/>
          <w:lang w:val="en-US"/>
        </w:rPr>
        <w:t>ALHASAN</w:t>
      </w:r>
      <w:r>
        <w:rPr>
          <w:rFonts w:ascii="Arial" w:hAnsi="Arial" w:cs="Arial"/>
          <w:sz w:val="28"/>
          <w:szCs w:val="28"/>
          <w:lang w:val="el-GR"/>
        </w:rPr>
        <w:t xml:space="preserve"> ΚΑΤΑ ΠΑΡΑΒΑΣΗ ΤΟΥ ΑΡΘΡΟΥ 11 ΤΟΥ ΣΥΝΤΑΓΜΑΤΟΣ ΤΗΣ ΚΥΠΡΙΑΚΗΣ ΔΗΜΟΚΡΑΤΙΑΣ, ΤΟΥ ΑΡΘΡΟΥ 5(1) ΤΗΣ ΕΥΡΩΠΑΪΚΗΣ ΣΥΜΒΑΣΗΣ ΓΙΑ ΤΗΝ ΠΡΟΑΣΠΙΣΗ ΤΩΝ ΑΝΘΡΩΠΙΝΩΝ ΔΙΚΑΙΩΜΑΤΩΝ, ΤΟΥ ΑΡΘΡΟΥ 6 ΤΟΥ ΧΑΡΤΗ ΘΕΜΕΛΙΩΔΩΝ ΔΙΚΑΙΩΜΑΤΩΝ ΤΗΣ Ε.Ε., ΤΟΥ ΑΡΘΡΟΥ 9ΣΤ ΤΟΥ ΠΕΡΙ ΠΡΟΣΦΥΓΩΝ ΝΟΜΟΥ ΚΑΙ ΤΩΝ ΑΡΘΡΩΝ 8 ΚΑΙ 9 ΤΗΣ ΟΔΗΓΙΑΣ 2013/33/ΕΕ ΣΧΕΤΙΚΑ ΜΕ ΤΙΣ ΑΠΑΙΤΗΣΕΙΣ ΓΙΑ ΤΗΝ ΥΠΟΔΟΧΗ ΤΩΝ ΑΙΤΟΥΝΤΩΝ ΔΙΕΘΝΗ ΠΡΟΣΤΑΣΙΑ.</w:t>
      </w:r>
    </w:p>
    <w:p w14:paraId="2E97800B" w14:textId="77777777" w:rsidR="00E00EC5" w:rsidRDefault="00E00EC5" w:rsidP="00E00EC5">
      <w:pPr>
        <w:pStyle w:val="ListParagraph"/>
        <w:spacing w:after="0"/>
        <w:ind w:left="0"/>
        <w:jc w:val="both"/>
        <w:rPr>
          <w:rFonts w:ascii="Arial" w:hAnsi="Arial" w:cs="Arial"/>
          <w:sz w:val="28"/>
          <w:szCs w:val="28"/>
          <w:lang w:val="el-GR"/>
        </w:rPr>
      </w:pPr>
    </w:p>
    <w:p w14:paraId="0517F2E9" w14:textId="77777777" w:rsidR="00E00EC5" w:rsidRPr="00DB1129" w:rsidRDefault="00E00EC5" w:rsidP="00E00EC5">
      <w:pPr>
        <w:pStyle w:val="ListParagraph"/>
        <w:spacing w:after="0"/>
        <w:ind w:left="0"/>
        <w:jc w:val="center"/>
        <w:rPr>
          <w:rFonts w:ascii="Arial" w:hAnsi="Arial" w:cs="Arial"/>
          <w:sz w:val="28"/>
          <w:szCs w:val="28"/>
          <w:lang w:val="el-GR"/>
        </w:rPr>
      </w:pPr>
      <w:r>
        <w:rPr>
          <w:rFonts w:ascii="Arial" w:hAnsi="Arial" w:cs="Arial"/>
          <w:sz w:val="28"/>
          <w:szCs w:val="28"/>
          <w:lang w:val="el-GR"/>
        </w:rPr>
        <w:t>____________________</w:t>
      </w:r>
    </w:p>
    <w:p w14:paraId="46E01F2A" w14:textId="77777777" w:rsidR="00DC256E" w:rsidRDefault="00DC256E" w:rsidP="00D16634">
      <w:pPr>
        <w:spacing w:after="0" w:line="240" w:lineRule="auto"/>
        <w:jc w:val="both"/>
        <w:rPr>
          <w:rFonts w:ascii="Arial" w:hAnsi="Arial" w:cs="Arial"/>
          <w:i/>
          <w:sz w:val="28"/>
          <w:szCs w:val="28"/>
          <w:lang w:val="el-GR"/>
        </w:rPr>
      </w:pPr>
    </w:p>
    <w:p w14:paraId="1F1866F1" w14:textId="77777777" w:rsidR="00E00EC5" w:rsidRDefault="00E00EC5" w:rsidP="006B30B4">
      <w:pPr>
        <w:spacing w:after="0" w:line="360" w:lineRule="auto"/>
        <w:ind w:left="270"/>
        <w:jc w:val="both"/>
        <w:rPr>
          <w:rFonts w:ascii="Arial" w:hAnsi="Arial" w:cs="Arial"/>
          <w:sz w:val="28"/>
          <w:szCs w:val="28"/>
          <w:lang w:val="el-GR"/>
        </w:rPr>
      </w:pPr>
      <w:r>
        <w:rPr>
          <w:rFonts w:ascii="Arial" w:hAnsi="Arial" w:cs="Arial"/>
          <w:i/>
          <w:sz w:val="28"/>
          <w:szCs w:val="28"/>
          <w:lang w:val="el-GR"/>
        </w:rPr>
        <w:t>Α. Δημητρίου</w:t>
      </w:r>
      <w:r>
        <w:rPr>
          <w:rFonts w:ascii="Arial" w:hAnsi="Arial" w:cs="Arial"/>
          <w:sz w:val="28"/>
          <w:szCs w:val="28"/>
          <w:lang w:val="el-GR"/>
        </w:rPr>
        <w:t>, για τον Αιτητή.</w:t>
      </w:r>
    </w:p>
    <w:p w14:paraId="0631E1BA" w14:textId="77777777" w:rsidR="00E00EC5" w:rsidRPr="00795FD4" w:rsidRDefault="00E00EC5" w:rsidP="006B30B4">
      <w:pPr>
        <w:spacing w:after="0" w:line="360" w:lineRule="auto"/>
        <w:ind w:left="270"/>
        <w:jc w:val="both"/>
        <w:rPr>
          <w:rFonts w:ascii="Arial" w:hAnsi="Arial" w:cs="Arial"/>
          <w:sz w:val="28"/>
          <w:szCs w:val="28"/>
          <w:lang w:val="el-GR"/>
        </w:rPr>
      </w:pPr>
      <w:r>
        <w:rPr>
          <w:rFonts w:ascii="Arial" w:hAnsi="Arial" w:cs="Arial"/>
          <w:i/>
          <w:sz w:val="28"/>
          <w:szCs w:val="28"/>
          <w:lang w:val="el-GR"/>
        </w:rPr>
        <w:t>Ν. Τζιρτζιπή (κα)</w:t>
      </w:r>
      <w:r>
        <w:rPr>
          <w:rFonts w:ascii="Arial" w:hAnsi="Arial" w:cs="Arial"/>
          <w:sz w:val="28"/>
          <w:szCs w:val="28"/>
          <w:lang w:val="el-GR"/>
        </w:rPr>
        <w:t>,</w:t>
      </w:r>
      <w:r w:rsidR="006B30B4">
        <w:rPr>
          <w:rFonts w:ascii="Arial" w:hAnsi="Arial" w:cs="Arial"/>
          <w:i/>
          <w:sz w:val="28"/>
          <w:szCs w:val="28"/>
          <w:lang w:val="el-GR"/>
        </w:rPr>
        <w:t xml:space="preserve"> εκ μέρους του Γενικού Εισαγγελέα της Δημοκρατίας</w:t>
      </w:r>
      <w:r w:rsidR="006B30B4">
        <w:rPr>
          <w:rFonts w:ascii="Arial" w:hAnsi="Arial" w:cs="Arial"/>
          <w:sz w:val="28"/>
          <w:szCs w:val="28"/>
          <w:lang w:val="el-GR"/>
        </w:rPr>
        <w:t>,</w:t>
      </w:r>
      <w:r>
        <w:rPr>
          <w:rFonts w:ascii="Arial" w:hAnsi="Arial" w:cs="Arial"/>
          <w:sz w:val="28"/>
          <w:szCs w:val="28"/>
          <w:lang w:val="el-GR"/>
        </w:rPr>
        <w:t xml:space="preserve"> για τη Δημοκρατία.</w:t>
      </w:r>
    </w:p>
    <w:p w14:paraId="0FC4B870" w14:textId="77777777" w:rsidR="00E00EC5" w:rsidRDefault="006B30B4" w:rsidP="00D16634">
      <w:pPr>
        <w:spacing w:after="0" w:line="360" w:lineRule="auto"/>
        <w:jc w:val="center"/>
        <w:rPr>
          <w:rFonts w:ascii="Arial" w:hAnsi="Arial" w:cs="Arial"/>
          <w:sz w:val="28"/>
          <w:szCs w:val="28"/>
          <w:lang w:val="el-GR"/>
        </w:rPr>
      </w:pPr>
      <w:r>
        <w:rPr>
          <w:rFonts w:ascii="Arial" w:hAnsi="Arial" w:cs="Arial"/>
          <w:sz w:val="28"/>
          <w:szCs w:val="28"/>
          <w:lang w:val="el-GR"/>
        </w:rPr>
        <w:t>____________________</w:t>
      </w:r>
    </w:p>
    <w:p w14:paraId="08E4560A" w14:textId="77777777" w:rsidR="006B30B4" w:rsidRDefault="006B30B4" w:rsidP="00D16634">
      <w:pPr>
        <w:spacing w:after="0" w:line="360" w:lineRule="auto"/>
        <w:rPr>
          <w:rFonts w:ascii="Arial" w:hAnsi="Arial" w:cs="Arial"/>
          <w:sz w:val="28"/>
          <w:szCs w:val="28"/>
          <w:lang w:val="el-GR"/>
        </w:rPr>
      </w:pPr>
    </w:p>
    <w:p w14:paraId="4573FB1E" w14:textId="351348B1" w:rsidR="006B30B4" w:rsidRDefault="006B30B4" w:rsidP="00D16634">
      <w:pPr>
        <w:spacing w:after="0" w:line="360" w:lineRule="auto"/>
        <w:jc w:val="center"/>
        <w:rPr>
          <w:rFonts w:ascii="Arial" w:hAnsi="Arial" w:cs="Arial"/>
          <w:b/>
          <w:sz w:val="28"/>
          <w:szCs w:val="28"/>
          <w:lang w:val="el-GR"/>
        </w:rPr>
      </w:pPr>
      <w:r>
        <w:rPr>
          <w:rFonts w:ascii="Arial" w:hAnsi="Arial" w:cs="Arial"/>
          <w:b/>
          <w:sz w:val="28"/>
          <w:szCs w:val="28"/>
          <w:lang w:val="el-GR"/>
        </w:rPr>
        <w:t>ΑΠΟΦΑΣΗ</w:t>
      </w:r>
    </w:p>
    <w:p w14:paraId="70A6A1DA" w14:textId="77777777" w:rsidR="00BD0E72" w:rsidRDefault="00BD0E72" w:rsidP="00D16634">
      <w:pPr>
        <w:spacing w:after="0" w:line="360" w:lineRule="auto"/>
        <w:jc w:val="center"/>
        <w:rPr>
          <w:rFonts w:ascii="Arial" w:hAnsi="Arial" w:cs="Arial"/>
          <w:b/>
          <w:sz w:val="28"/>
          <w:szCs w:val="28"/>
          <w:lang w:val="el-GR"/>
        </w:rPr>
      </w:pPr>
    </w:p>
    <w:p w14:paraId="02B3C301" w14:textId="154BAB8F" w:rsidR="00BD0E72" w:rsidRDefault="006B30B4" w:rsidP="00BD0E72">
      <w:pPr>
        <w:spacing w:after="0" w:line="480" w:lineRule="auto"/>
        <w:ind w:firstLine="270"/>
        <w:jc w:val="both"/>
        <w:rPr>
          <w:rFonts w:ascii="Arial" w:hAnsi="Arial" w:cs="Arial"/>
          <w:sz w:val="28"/>
          <w:szCs w:val="28"/>
          <w:lang w:val="el-GR"/>
        </w:rPr>
      </w:pPr>
      <w:r>
        <w:rPr>
          <w:rFonts w:ascii="Arial" w:hAnsi="Arial" w:cs="Arial"/>
          <w:b/>
          <w:sz w:val="28"/>
          <w:szCs w:val="28"/>
          <w:lang w:val="el-GR"/>
        </w:rPr>
        <w:t>ΜΑΛΑΧΤΟΣ, Δ.</w:t>
      </w:r>
      <w:r>
        <w:rPr>
          <w:rFonts w:ascii="Arial" w:hAnsi="Arial" w:cs="Arial"/>
          <w:sz w:val="28"/>
          <w:szCs w:val="28"/>
          <w:lang w:val="el-GR"/>
        </w:rPr>
        <w:t>:</w:t>
      </w:r>
      <w:r w:rsidR="00BD0E72">
        <w:rPr>
          <w:rFonts w:ascii="Arial" w:hAnsi="Arial" w:cs="Arial"/>
          <w:sz w:val="28"/>
          <w:szCs w:val="28"/>
          <w:lang w:val="el-GR"/>
        </w:rPr>
        <w:t xml:space="preserve">  </w:t>
      </w:r>
      <w:r w:rsidR="00A72E5E">
        <w:rPr>
          <w:rFonts w:ascii="Arial" w:hAnsi="Arial" w:cs="Arial"/>
          <w:sz w:val="28"/>
          <w:szCs w:val="28"/>
          <w:lang w:val="el-GR"/>
        </w:rPr>
        <w:t xml:space="preserve">Ο Αιτητής αιτείται την έκδοση προνομιακού εντάλματος </w:t>
      </w:r>
      <w:r w:rsidR="00A72E5E">
        <w:rPr>
          <w:rFonts w:ascii="Arial" w:hAnsi="Arial" w:cs="Arial"/>
          <w:sz w:val="28"/>
          <w:szCs w:val="28"/>
          <w:lang w:val="en-US"/>
        </w:rPr>
        <w:t>Habeas</w:t>
      </w:r>
      <w:r w:rsidR="00A72E5E" w:rsidRPr="000C24E2">
        <w:rPr>
          <w:rFonts w:ascii="Arial" w:hAnsi="Arial" w:cs="Arial"/>
          <w:sz w:val="28"/>
          <w:szCs w:val="28"/>
          <w:lang w:val="el-GR"/>
        </w:rPr>
        <w:t xml:space="preserve"> </w:t>
      </w:r>
      <w:r w:rsidR="00A72E5E">
        <w:rPr>
          <w:rFonts w:ascii="Arial" w:hAnsi="Arial" w:cs="Arial"/>
          <w:sz w:val="28"/>
          <w:szCs w:val="28"/>
          <w:lang w:val="en-US"/>
        </w:rPr>
        <w:t>Corpus</w:t>
      </w:r>
      <w:r w:rsidR="00A72E5E" w:rsidRPr="000C24E2">
        <w:rPr>
          <w:rFonts w:ascii="Arial" w:hAnsi="Arial" w:cs="Arial"/>
          <w:sz w:val="28"/>
          <w:szCs w:val="28"/>
          <w:lang w:val="el-GR"/>
        </w:rPr>
        <w:t xml:space="preserve"> </w:t>
      </w:r>
      <w:r w:rsidR="00A72E5E">
        <w:rPr>
          <w:rFonts w:ascii="Arial" w:hAnsi="Arial" w:cs="Arial"/>
          <w:sz w:val="28"/>
          <w:szCs w:val="28"/>
          <w:lang w:val="en-US"/>
        </w:rPr>
        <w:t>Ad</w:t>
      </w:r>
      <w:r w:rsidR="00A72E5E" w:rsidRPr="000C24E2">
        <w:rPr>
          <w:rFonts w:ascii="Arial" w:hAnsi="Arial" w:cs="Arial"/>
          <w:sz w:val="28"/>
          <w:szCs w:val="28"/>
          <w:lang w:val="el-GR"/>
        </w:rPr>
        <w:t xml:space="preserve"> </w:t>
      </w:r>
      <w:r w:rsidR="00A72E5E">
        <w:rPr>
          <w:rFonts w:ascii="Arial" w:hAnsi="Arial" w:cs="Arial"/>
          <w:sz w:val="28"/>
          <w:szCs w:val="28"/>
          <w:lang w:val="en-US"/>
        </w:rPr>
        <w:t>Subjiciendum</w:t>
      </w:r>
      <w:r w:rsidR="00A72E5E" w:rsidRPr="00D8163B">
        <w:rPr>
          <w:rFonts w:ascii="Arial" w:hAnsi="Arial" w:cs="Arial"/>
          <w:sz w:val="28"/>
          <w:szCs w:val="28"/>
          <w:lang w:val="el-GR"/>
        </w:rPr>
        <w:t xml:space="preserve"> </w:t>
      </w:r>
      <w:r w:rsidR="00A72E5E">
        <w:rPr>
          <w:rFonts w:ascii="Arial" w:hAnsi="Arial" w:cs="Arial"/>
          <w:sz w:val="28"/>
          <w:szCs w:val="28"/>
          <w:lang w:val="el-GR"/>
        </w:rPr>
        <w:t>με το οποίο να κηρύσσεται η διάρκεια της κράτησης του υπό την ιδιότητα του ως αιτητή ασύλου ως παράνομη</w:t>
      </w:r>
      <w:r w:rsidR="00CB5214" w:rsidRPr="00CB5214">
        <w:rPr>
          <w:rFonts w:ascii="Arial" w:hAnsi="Arial" w:cs="Arial"/>
          <w:sz w:val="28"/>
          <w:szCs w:val="28"/>
          <w:lang w:val="el-GR"/>
        </w:rPr>
        <w:t xml:space="preserve">, </w:t>
      </w:r>
      <w:r w:rsidR="00CB5214">
        <w:rPr>
          <w:rFonts w:ascii="Arial" w:hAnsi="Arial" w:cs="Arial"/>
          <w:sz w:val="28"/>
          <w:szCs w:val="28"/>
          <w:lang w:val="el-GR"/>
        </w:rPr>
        <w:t>ώστε να αφεθεί ελεύθερος</w:t>
      </w:r>
      <w:r w:rsidR="00A72E5E">
        <w:rPr>
          <w:rFonts w:ascii="Arial" w:hAnsi="Arial" w:cs="Arial"/>
          <w:sz w:val="28"/>
          <w:szCs w:val="28"/>
          <w:lang w:val="el-GR"/>
        </w:rPr>
        <w:t>.</w:t>
      </w:r>
      <w:r w:rsidR="00BD0E72">
        <w:rPr>
          <w:rFonts w:ascii="Arial" w:hAnsi="Arial" w:cs="Arial"/>
          <w:sz w:val="28"/>
          <w:szCs w:val="28"/>
          <w:lang w:val="el-GR"/>
        </w:rPr>
        <w:t xml:space="preserve"> </w:t>
      </w:r>
      <w:r w:rsidR="00A72E5E">
        <w:rPr>
          <w:rFonts w:ascii="Arial" w:hAnsi="Arial" w:cs="Arial"/>
          <w:sz w:val="28"/>
          <w:szCs w:val="28"/>
          <w:lang w:val="el-GR"/>
        </w:rPr>
        <w:t xml:space="preserve"> </w:t>
      </w:r>
    </w:p>
    <w:p w14:paraId="289A6DA4" w14:textId="35ED65E5" w:rsidR="00A72E5E" w:rsidRDefault="00A72E5E" w:rsidP="00BD0E72">
      <w:pPr>
        <w:spacing w:after="0" w:line="480" w:lineRule="auto"/>
        <w:ind w:firstLine="270"/>
        <w:jc w:val="both"/>
        <w:rPr>
          <w:rFonts w:ascii="Arial" w:hAnsi="Arial" w:cs="Arial"/>
          <w:sz w:val="28"/>
          <w:szCs w:val="28"/>
          <w:lang w:val="el-GR"/>
        </w:rPr>
      </w:pPr>
      <w:r>
        <w:rPr>
          <w:rFonts w:ascii="Arial" w:hAnsi="Arial" w:cs="Arial"/>
          <w:sz w:val="28"/>
          <w:szCs w:val="28"/>
          <w:lang w:val="el-GR"/>
        </w:rPr>
        <w:lastRenderedPageBreak/>
        <w:t>Η Αίτηση υποστηρίζεται με ένορκη δήλωση ημερ.</w:t>
      </w:r>
      <w:r w:rsidR="00BD0E72">
        <w:rPr>
          <w:rFonts w:ascii="Arial" w:hAnsi="Arial" w:cs="Arial"/>
          <w:sz w:val="28"/>
          <w:szCs w:val="28"/>
          <w:lang w:val="el-GR"/>
        </w:rPr>
        <w:t>18.8</w:t>
      </w:r>
      <w:r>
        <w:rPr>
          <w:rFonts w:ascii="Arial" w:hAnsi="Arial" w:cs="Arial"/>
          <w:sz w:val="28"/>
          <w:szCs w:val="28"/>
          <w:lang w:val="el-GR"/>
        </w:rPr>
        <w:t>.202</w:t>
      </w:r>
      <w:r w:rsidR="00BD0E72">
        <w:rPr>
          <w:rFonts w:ascii="Arial" w:hAnsi="Arial" w:cs="Arial"/>
          <w:sz w:val="28"/>
          <w:szCs w:val="28"/>
          <w:lang w:val="el-GR"/>
        </w:rPr>
        <w:t>3</w:t>
      </w:r>
      <w:r>
        <w:rPr>
          <w:rFonts w:ascii="Arial" w:hAnsi="Arial" w:cs="Arial"/>
          <w:sz w:val="28"/>
          <w:szCs w:val="28"/>
          <w:lang w:val="el-GR"/>
        </w:rPr>
        <w:t xml:space="preserve"> του </w:t>
      </w:r>
      <w:r w:rsidR="00CB5214">
        <w:rPr>
          <w:rFonts w:ascii="Arial" w:hAnsi="Arial" w:cs="Arial"/>
          <w:sz w:val="28"/>
          <w:szCs w:val="28"/>
          <w:lang w:val="el-GR"/>
        </w:rPr>
        <w:t>ιδίου</w:t>
      </w:r>
      <w:r>
        <w:rPr>
          <w:rFonts w:ascii="Arial" w:hAnsi="Arial" w:cs="Arial"/>
          <w:sz w:val="28"/>
          <w:szCs w:val="28"/>
          <w:lang w:val="el-GR"/>
        </w:rPr>
        <w:t>.  Η Δημοκρατία καταχώρησε Ειδοποίηση Πρόθεσης Ένστασης που υποστηρίζεται με ένορκη δήλωση ημερ.</w:t>
      </w:r>
      <w:r w:rsidR="00AA5A8C">
        <w:rPr>
          <w:rFonts w:ascii="Arial" w:hAnsi="Arial" w:cs="Arial"/>
          <w:sz w:val="28"/>
          <w:szCs w:val="28"/>
          <w:lang w:val="el-GR"/>
        </w:rPr>
        <w:t xml:space="preserve">1.9.2023 </w:t>
      </w:r>
      <w:r>
        <w:rPr>
          <w:rFonts w:ascii="Arial" w:hAnsi="Arial" w:cs="Arial"/>
          <w:sz w:val="28"/>
          <w:szCs w:val="28"/>
          <w:lang w:val="el-GR"/>
        </w:rPr>
        <w:t>λειτουργού στο Τμήμα Αρχείου Πληθυσμού και Μετανάστευσης.</w:t>
      </w:r>
    </w:p>
    <w:p w14:paraId="476CE33D" w14:textId="77777777" w:rsidR="00A72E5E" w:rsidRDefault="00A72E5E" w:rsidP="00A72E5E">
      <w:pPr>
        <w:spacing w:after="0" w:line="480" w:lineRule="auto"/>
        <w:jc w:val="both"/>
        <w:rPr>
          <w:rFonts w:ascii="Arial" w:hAnsi="Arial" w:cs="Arial"/>
          <w:sz w:val="28"/>
          <w:szCs w:val="28"/>
          <w:lang w:val="el-GR"/>
        </w:rPr>
      </w:pPr>
    </w:p>
    <w:p w14:paraId="52699DE5" w14:textId="555A8506" w:rsidR="006B64F5" w:rsidRDefault="00AA5A8C" w:rsidP="006B64F5">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A72E5E">
        <w:rPr>
          <w:rFonts w:ascii="Arial" w:hAnsi="Arial" w:cs="Arial"/>
          <w:sz w:val="28"/>
          <w:szCs w:val="28"/>
          <w:lang w:val="el-GR"/>
        </w:rPr>
        <w:t xml:space="preserve">Ο Αιτητής είναι υπήκοος </w:t>
      </w:r>
      <w:r>
        <w:rPr>
          <w:rFonts w:ascii="Arial" w:hAnsi="Arial" w:cs="Arial"/>
          <w:sz w:val="28"/>
          <w:szCs w:val="28"/>
          <w:lang w:val="el-GR"/>
        </w:rPr>
        <w:t xml:space="preserve">Συρίας.  </w:t>
      </w:r>
      <w:r w:rsidR="00A72E5E">
        <w:rPr>
          <w:rFonts w:ascii="Arial" w:hAnsi="Arial" w:cs="Arial"/>
          <w:sz w:val="28"/>
          <w:szCs w:val="28"/>
          <w:lang w:val="el-GR"/>
        </w:rPr>
        <w:t xml:space="preserve">Την </w:t>
      </w:r>
      <w:r>
        <w:rPr>
          <w:rFonts w:ascii="Arial" w:hAnsi="Arial" w:cs="Arial"/>
          <w:sz w:val="28"/>
          <w:szCs w:val="28"/>
          <w:lang w:val="el-GR"/>
        </w:rPr>
        <w:t>25.7.2022</w:t>
      </w:r>
      <w:r w:rsidR="00A72E5E">
        <w:rPr>
          <w:rFonts w:ascii="Arial" w:hAnsi="Arial" w:cs="Arial"/>
          <w:sz w:val="28"/>
          <w:szCs w:val="28"/>
          <w:lang w:val="el-GR"/>
        </w:rPr>
        <w:t xml:space="preserve"> αφίχθηκε στην Κύπρο, στα κατεχόμενα, και στη συνέχεια πέρασε στις ελεγχόμενες από τη Δημοκρατία περιοχές.</w:t>
      </w:r>
      <w:r>
        <w:rPr>
          <w:rFonts w:ascii="Arial" w:hAnsi="Arial" w:cs="Arial"/>
          <w:sz w:val="28"/>
          <w:szCs w:val="28"/>
          <w:lang w:val="el-GR"/>
        </w:rPr>
        <w:t xml:space="preserve">  </w:t>
      </w:r>
      <w:r w:rsidR="00A72E5E">
        <w:rPr>
          <w:rFonts w:ascii="Arial" w:hAnsi="Arial" w:cs="Arial"/>
          <w:sz w:val="28"/>
          <w:szCs w:val="28"/>
          <w:lang w:val="el-GR"/>
        </w:rPr>
        <w:t xml:space="preserve">Την </w:t>
      </w:r>
      <w:r>
        <w:rPr>
          <w:rFonts w:ascii="Arial" w:hAnsi="Arial" w:cs="Arial"/>
          <w:sz w:val="28"/>
          <w:szCs w:val="28"/>
          <w:lang w:val="el-GR"/>
        </w:rPr>
        <w:t>19.8.2022</w:t>
      </w:r>
      <w:r w:rsidR="00A72E5E">
        <w:rPr>
          <w:rFonts w:ascii="Arial" w:hAnsi="Arial" w:cs="Arial"/>
          <w:sz w:val="28"/>
          <w:szCs w:val="28"/>
          <w:lang w:val="el-GR"/>
        </w:rPr>
        <w:t xml:space="preserve"> αιτήθηκε πολιτικό άσυλο.</w:t>
      </w:r>
      <w:r>
        <w:rPr>
          <w:rFonts w:ascii="Arial" w:hAnsi="Arial" w:cs="Arial"/>
          <w:sz w:val="28"/>
          <w:szCs w:val="28"/>
          <w:lang w:val="el-GR"/>
        </w:rPr>
        <w:t xml:space="preserve">  Παρέμεινε ελεύθερος και, όπως αναφέρει, διέμενε στη Λεμεσό με τον αδελφό του ο οποίος</w:t>
      </w:r>
      <w:r w:rsidR="005D0B65">
        <w:rPr>
          <w:rFonts w:ascii="Arial" w:hAnsi="Arial" w:cs="Arial"/>
          <w:sz w:val="28"/>
          <w:szCs w:val="28"/>
          <w:lang w:val="el-GR"/>
        </w:rPr>
        <w:t xml:space="preserve"> </w:t>
      </w:r>
      <w:r w:rsidR="00CB5214">
        <w:rPr>
          <w:rFonts w:ascii="Arial" w:hAnsi="Arial" w:cs="Arial"/>
          <w:sz w:val="28"/>
          <w:szCs w:val="28"/>
          <w:lang w:val="el-GR"/>
        </w:rPr>
        <w:t>κατοικεί</w:t>
      </w:r>
      <w:r w:rsidRPr="00AA5A8C">
        <w:rPr>
          <w:rFonts w:ascii="Arial" w:hAnsi="Arial" w:cs="Arial"/>
          <w:i/>
          <w:iCs/>
          <w:sz w:val="28"/>
          <w:szCs w:val="28"/>
          <w:lang w:val="el-GR"/>
        </w:rPr>
        <w:t xml:space="preserve"> </w:t>
      </w:r>
      <w:r w:rsidRPr="005D0B65">
        <w:rPr>
          <w:rFonts w:ascii="Arial" w:hAnsi="Arial" w:cs="Arial"/>
          <w:sz w:val="28"/>
          <w:szCs w:val="28"/>
          <w:lang w:val="el-GR"/>
        </w:rPr>
        <w:t>στην Κύπρο</w:t>
      </w:r>
      <w:r>
        <w:rPr>
          <w:rFonts w:ascii="Arial" w:hAnsi="Arial" w:cs="Arial"/>
          <w:sz w:val="28"/>
          <w:szCs w:val="28"/>
          <w:lang w:val="el-GR"/>
        </w:rPr>
        <w:t>.</w:t>
      </w:r>
      <w:r w:rsidR="00A72E5E">
        <w:rPr>
          <w:rFonts w:ascii="Arial" w:hAnsi="Arial" w:cs="Arial"/>
          <w:sz w:val="28"/>
          <w:szCs w:val="28"/>
          <w:lang w:val="el-GR"/>
        </w:rPr>
        <w:t xml:space="preserve"> </w:t>
      </w:r>
      <w:r w:rsidR="00643660">
        <w:rPr>
          <w:rFonts w:ascii="Arial" w:hAnsi="Arial" w:cs="Arial"/>
          <w:sz w:val="28"/>
          <w:szCs w:val="28"/>
          <w:lang w:val="el-GR"/>
        </w:rPr>
        <w:t xml:space="preserve"> Σ</w:t>
      </w:r>
      <w:r>
        <w:rPr>
          <w:rFonts w:ascii="Arial" w:hAnsi="Arial" w:cs="Arial"/>
          <w:sz w:val="28"/>
          <w:szCs w:val="28"/>
          <w:lang w:val="el-GR"/>
        </w:rPr>
        <w:t xml:space="preserve">υνελήφθηκε την </w:t>
      </w:r>
      <w:r w:rsidR="00643660">
        <w:rPr>
          <w:rFonts w:ascii="Arial" w:hAnsi="Arial" w:cs="Arial"/>
          <w:sz w:val="28"/>
          <w:szCs w:val="28"/>
          <w:lang w:val="el-GR"/>
        </w:rPr>
        <w:t>6.9.2022 δυνάμει διατάγματος</w:t>
      </w:r>
      <w:r w:rsidR="00A72E5E">
        <w:rPr>
          <w:rFonts w:ascii="Arial" w:hAnsi="Arial" w:cs="Arial"/>
          <w:sz w:val="28"/>
          <w:szCs w:val="28"/>
          <w:lang w:val="el-GR"/>
        </w:rPr>
        <w:t xml:space="preserve"> κράτησης </w:t>
      </w:r>
      <w:r w:rsidR="00643660">
        <w:rPr>
          <w:rFonts w:ascii="Arial" w:hAnsi="Arial" w:cs="Arial"/>
          <w:sz w:val="28"/>
          <w:szCs w:val="28"/>
          <w:lang w:val="el-GR"/>
        </w:rPr>
        <w:t>του</w:t>
      </w:r>
      <w:r w:rsidR="00CB5214">
        <w:rPr>
          <w:rFonts w:ascii="Arial" w:hAnsi="Arial" w:cs="Arial"/>
          <w:sz w:val="28"/>
          <w:szCs w:val="28"/>
          <w:lang w:val="el-GR"/>
        </w:rPr>
        <w:t xml:space="preserve"> ημερ.5.9.2022</w:t>
      </w:r>
      <w:r w:rsidR="00643660">
        <w:rPr>
          <w:rFonts w:ascii="Arial" w:hAnsi="Arial" w:cs="Arial"/>
          <w:sz w:val="28"/>
          <w:szCs w:val="28"/>
          <w:lang w:val="el-GR"/>
        </w:rPr>
        <w:t xml:space="preserve">, που εκδόθηκε </w:t>
      </w:r>
      <w:r w:rsidR="00A72E5E">
        <w:rPr>
          <w:rFonts w:ascii="Arial" w:hAnsi="Arial" w:cs="Arial"/>
          <w:sz w:val="28"/>
          <w:szCs w:val="28"/>
          <w:lang w:val="el-GR"/>
        </w:rPr>
        <w:t xml:space="preserve">δυνάμει του </w:t>
      </w:r>
      <w:r w:rsidR="00A72E5E" w:rsidRPr="00643660">
        <w:rPr>
          <w:rFonts w:ascii="Arial" w:hAnsi="Arial" w:cs="Arial"/>
          <w:b/>
          <w:bCs/>
          <w:i/>
          <w:iCs/>
          <w:sz w:val="28"/>
          <w:szCs w:val="28"/>
          <w:lang w:val="el-GR"/>
        </w:rPr>
        <w:t>άρθρου 9ΣΤ(2)(ε)</w:t>
      </w:r>
      <w:r w:rsidR="00A72E5E">
        <w:rPr>
          <w:rFonts w:ascii="Arial" w:hAnsi="Arial" w:cs="Arial"/>
          <w:sz w:val="28"/>
          <w:szCs w:val="28"/>
          <w:lang w:val="el-GR"/>
        </w:rPr>
        <w:t xml:space="preserve"> του </w:t>
      </w:r>
      <w:r w:rsidR="00A72E5E" w:rsidRPr="00D62C39">
        <w:rPr>
          <w:rFonts w:ascii="Arial" w:hAnsi="Arial" w:cs="Arial"/>
          <w:b/>
          <w:i/>
          <w:sz w:val="28"/>
          <w:szCs w:val="28"/>
          <w:lang w:val="el-GR"/>
        </w:rPr>
        <w:t>περί Προσφύγων Νόμου</w:t>
      </w:r>
      <w:r w:rsidR="00643660">
        <w:rPr>
          <w:rFonts w:ascii="Arial" w:hAnsi="Arial" w:cs="Arial"/>
          <w:b/>
          <w:i/>
          <w:sz w:val="28"/>
          <w:szCs w:val="28"/>
          <w:lang w:val="el-GR"/>
        </w:rPr>
        <w:t xml:space="preserve"> του 2000, Ν.6(Ι)/2000</w:t>
      </w:r>
      <w:r w:rsidR="00643660">
        <w:rPr>
          <w:rFonts w:ascii="Arial" w:hAnsi="Arial" w:cs="Arial"/>
          <w:bCs/>
          <w:iCs/>
          <w:sz w:val="28"/>
          <w:szCs w:val="28"/>
          <w:lang w:val="el-GR"/>
        </w:rPr>
        <w:t>,</w:t>
      </w:r>
      <w:r w:rsidR="00A72E5E">
        <w:rPr>
          <w:rFonts w:ascii="Arial" w:hAnsi="Arial" w:cs="Arial"/>
          <w:sz w:val="28"/>
          <w:szCs w:val="28"/>
          <w:lang w:val="el-GR"/>
        </w:rPr>
        <w:t xml:space="preserve"> για λόγους εθνικής ασφάλειας.  Η νομιμότητα του διατάγματος κράτησης </w:t>
      </w:r>
      <w:r w:rsidR="00643660">
        <w:rPr>
          <w:rFonts w:ascii="Arial" w:hAnsi="Arial" w:cs="Arial"/>
          <w:sz w:val="28"/>
          <w:szCs w:val="28"/>
          <w:lang w:val="el-GR"/>
        </w:rPr>
        <w:t>δεν έχει προσβληθεί από τον Αιτητή</w:t>
      </w:r>
      <w:r w:rsidR="003C618E" w:rsidRPr="003C618E">
        <w:rPr>
          <w:rFonts w:ascii="Arial" w:hAnsi="Arial" w:cs="Arial"/>
          <w:sz w:val="28"/>
          <w:szCs w:val="28"/>
          <w:lang w:val="el-GR"/>
        </w:rPr>
        <w:t xml:space="preserve">. </w:t>
      </w:r>
      <w:r w:rsidR="006B64F5">
        <w:rPr>
          <w:rFonts w:ascii="Arial" w:hAnsi="Arial" w:cs="Arial"/>
          <w:sz w:val="28"/>
          <w:szCs w:val="28"/>
          <w:lang w:val="el-GR"/>
        </w:rPr>
        <w:t xml:space="preserve"> </w:t>
      </w:r>
      <w:r w:rsidR="003C618E">
        <w:rPr>
          <w:rFonts w:ascii="Arial" w:hAnsi="Arial" w:cs="Arial"/>
          <w:sz w:val="28"/>
          <w:szCs w:val="28"/>
          <w:lang w:val="el-GR"/>
        </w:rPr>
        <w:t xml:space="preserve">Σήμερα </w:t>
      </w:r>
      <w:r w:rsidR="006B64F5">
        <w:rPr>
          <w:rFonts w:ascii="Arial" w:hAnsi="Arial" w:cs="Arial"/>
          <w:sz w:val="28"/>
          <w:szCs w:val="28"/>
          <w:lang w:val="el-GR"/>
        </w:rPr>
        <w:t xml:space="preserve">κρατείται στο </w:t>
      </w:r>
      <w:r w:rsidR="005D0B65">
        <w:rPr>
          <w:rFonts w:ascii="Arial" w:hAnsi="Arial" w:cs="Arial"/>
          <w:sz w:val="28"/>
          <w:szCs w:val="28"/>
          <w:lang w:val="el-GR"/>
        </w:rPr>
        <w:t xml:space="preserve">Χώρο Κράτησης Απαγορευμένων Μεταναστών </w:t>
      </w:r>
      <w:r w:rsidR="006B64F5">
        <w:rPr>
          <w:rFonts w:ascii="Arial" w:hAnsi="Arial" w:cs="Arial"/>
          <w:sz w:val="28"/>
          <w:szCs w:val="28"/>
          <w:lang w:val="el-GR"/>
        </w:rPr>
        <w:t xml:space="preserve">Μενόγειας. </w:t>
      </w:r>
      <w:r w:rsidR="003C618E">
        <w:rPr>
          <w:rFonts w:ascii="Arial" w:hAnsi="Arial" w:cs="Arial"/>
          <w:sz w:val="28"/>
          <w:szCs w:val="28"/>
          <w:lang w:val="el-GR"/>
        </w:rPr>
        <w:t xml:space="preserve"> </w:t>
      </w:r>
    </w:p>
    <w:p w14:paraId="500F2657" w14:textId="1F65CA77" w:rsidR="00643660" w:rsidRDefault="00643660" w:rsidP="00A72E5E">
      <w:pPr>
        <w:spacing w:after="0" w:line="480" w:lineRule="auto"/>
        <w:jc w:val="both"/>
        <w:rPr>
          <w:rFonts w:ascii="Arial" w:hAnsi="Arial" w:cs="Arial"/>
          <w:sz w:val="28"/>
          <w:szCs w:val="28"/>
          <w:lang w:val="el-GR"/>
        </w:rPr>
      </w:pPr>
    </w:p>
    <w:p w14:paraId="4FD6B960" w14:textId="3D7CF8B6" w:rsidR="00A72E5E" w:rsidRPr="006F0B2C" w:rsidRDefault="00643660" w:rsidP="00A72E5E">
      <w:pPr>
        <w:spacing w:after="0" w:line="480" w:lineRule="auto"/>
        <w:jc w:val="both"/>
        <w:rPr>
          <w:rFonts w:ascii="Arial" w:hAnsi="Arial" w:cs="Arial"/>
          <w:sz w:val="28"/>
          <w:szCs w:val="28"/>
          <w:lang w:val="el-GR"/>
        </w:rPr>
      </w:pPr>
      <w:r>
        <w:rPr>
          <w:rFonts w:ascii="Arial" w:hAnsi="Arial" w:cs="Arial"/>
          <w:sz w:val="28"/>
          <w:szCs w:val="28"/>
          <w:lang w:val="el-GR"/>
        </w:rPr>
        <w:t xml:space="preserve">    Η παρούσα διαδικασία </w:t>
      </w:r>
      <w:r w:rsidR="00A72E5E">
        <w:rPr>
          <w:rFonts w:ascii="Arial" w:hAnsi="Arial" w:cs="Arial"/>
          <w:sz w:val="28"/>
          <w:szCs w:val="28"/>
          <w:lang w:val="el-GR"/>
        </w:rPr>
        <w:t>αφορά στον έλεγχο της νομιμότητας της διάρκεια</w:t>
      </w:r>
      <w:r w:rsidR="001B1DE7">
        <w:rPr>
          <w:rFonts w:ascii="Arial" w:hAnsi="Arial" w:cs="Arial"/>
          <w:sz w:val="28"/>
          <w:szCs w:val="28"/>
          <w:lang w:val="el-GR"/>
        </w:rPr>
        <w:t>ς</w:t>
      </w:r>
      <w:r w:rsidR="00A72E5E">
        <w:rPr>
          <w:rFonts w:ascii="Arial" w:hAnsi="Arial" w:cs="Arial"/>
          <w:sz w:val="28"/>
          <w:szCs w:val="28"/>
          <w:lang w:val="el-GR"/>
        </w:rPr>
        <w:t xml:space="preserve"> της κράτησης</w:t>
      </w:r>
      <w:r w:rsidR="00A72E5E" w:rsidRPr="00D76616">
        <w:rPr>
          <w:rFonts w:ascii="Arial" w:hAnsi="Arial" w:cs="Arial"/>
          <w:sz w:val="28"/>
          <w:szCs w:val="28"/>
          <w:lang w:val="el-GR"/>
        </w:rPr>
        <w:t xml:space="preserve"> </w:t>
      </w:r>
      <w:r w:rsidR="00A72E5E">
        <w:rPr>
          <w:rFonts w:ascii="Arial" w:hAnsi="Arial" w:cs="Arial"/>
          <w:sz w:val="28"/>
          <w:szCs w:val="28"/>
          <w:lang w:val="el-GR"/>
        </w:rPr>
        <w:t>του Αιτητή (</w:t>
      </w:r>
      <w:r w:rsidR="00A72E5E" w:rsidRPr="00DB32E1">
        <w:rPr>
          <w:rFonts w:ascii="Arial" w:hAnsi="Arial" w:cs="Arial"/>
          <w:b/>
          <w:bCs/>
          <w:i/>
          <w:iCs/>
          <w:sz w:val="28"/>
          <w:szCs w:val="28"/>
          <w:lang w:val="el-GR"/>
        </w:rPr>
        <w:t>άρθρο 9ΣΤ(7)(α)(</w:t>
      </w:r>
      <w:r w:rsidR="00A72E5E" w:rsidRPr="00DB32E1">
        <w:rPr>
          <w:rFonts w:ascii="Arial" w:hAnsi="Arial" w:cs="Arial"/>
          <w:b/>
          <w:bCs/>
          <w:i/>
          <w:iCs/>
          <w:sz w:val="28"/>
          <w:szCs w:val="28"/>
          <w:lang w:val="en-US"/>
        </w:rPr>
        <w:t>i</w:t>
      </w:r>
      <w:r w:rsidR="00A72E5E" w:rsidRPr="00DB32E1">
        <w:rPr>
          <w:rFonts w:ascii="Arial" w:hAnsi="Arial" w:cs="Arial"/>
          <w:b/>
          <w:bCs/>
          <w:i/>
          <w:iCs/>
          <w:sz w:val="28"/>
          <w:szCs w:val="28"/>
          <w:lang w:val="el-GR"/>
        </w:rPr>
        <w:t>)</w:t>
      </w:r>
      <w:r w:rsidR="00CB5214">
        <w:rPr>
          <w:rFonts w:ascii="Arial" w:hAnsi="Arial" w:cs="Arial"/>
          <w:b/>
          <w:bCs/>
          <w:i/>
          <w:iCs/>
          <w:sz w:val="28"/>
          <w:szCs w:val="28"/>
          <w:lang w:val="el-GR"/>
        </w:rPr>
        <w:t xml:space="preserve"> </w:t>
      </w:r>
      <w:r w:rsidR="00CB5214">
        <w:rPr>
          <w:rFonts w:ascii="Arial" w:hAnsi="Arial" w:cs="Arial"/>
          <w:sz w:val="28"/>
          <w:szCs w:val="28"/>
          <w:lang w:val="el-GR"/>
        </w:rPr>
        <w:t xml:space="preserve">του </w:t>
      </w:r>
      <w:r w:rsidR="00CB5214">
        <w:rPr>
          <w:rFonts w:ascii="Arial" w:hAnsi="Arial" w:cs="Arial"/>
          <w:b/>
          <w:i/>
          <w:sz w:val="28"/>
          <w:szCs w:val="28"/>
          <w:lang w:val="el-GR"/>
        </w:rPr>
        <w:t>Ν.6(Ι)/2000</w:t>
      </w:r>
      <w:r w:rsidR="00A72E5E">
        <w:rPr>
          <w:rFonts w:ascii="Arial" w:hAnsi="Arial" w:cs="Arial"/>
          <w:sz w:val="28"/>
          <w:szCs w:val="28"/>
          <w:lang w:val="el-GR"/>
        </w:rPr>
        <w:t xml:space="preserve">).  Η διάρκεια της κράτησης μπορεί να κριθεί παράνομη αν </w:t>
      </w:r>
      <w:r w:rsidR="00A72E5E">
        <w:rPr>
          <w:rFonts w:ascii="Arial" w:hAnsi="Arial" w:cs="Arial"/>
          <w:sz w:val="28"/>
          <w:szCs w:val="28"/>
          <w:lang w:val="el-GR"/>
        </w:rPr>
        <w:lastRenderedPageBreak/>
        <w:t xml:space="preserve">διαπιστωθεί αδικαιολόγητα παρατεταμένη και παρά τη νομιμότητα του αρχικού διατάγματος κράτησης ή εάν οι λόγοι κράτησης έχουν εκλείψει.  </w:t>
      </w:r>
    </w:p>
    <w:p w14:paraId="7B9285DE" w14:textId="77777777" w:rsidR="00A72E5E" w:rsidRPr="006F0B2C" w:rsidRDefault="00A72E5E" w:rsidP="00A72E5E">
      <w:pPr>
        <w:spacing w:after="0" w:line="480" w:lineRule="auto"/>
        <w:jc w:val="both"/>
        <w:rPr>
          <w:rFonts w:ascii="Arial" w:hAnsi="Arial" w:cs="Arial"/>
          <w:sz w:val="28"/>
          <w:szCs w:val="28"/>
          <w:lang w:val="el-GR"/>
        </w:rPr>
      </w:pPr>
    </w:p>
    <w:p w14:paraId="3F26885D" w14:textId="093D18C0" w:rsidR="00A72E5E" w:rsidRPr="00A44D98" w:rsidRDefault="00DB32E1" w:rsidP="00A72E5E">
      <w:pPr>
        <w:spacing w:after="0" w:line="276" w:lineRule="auto"/>
        <w:ind w:right="702"/>
        <w:jc w:val="both"/>
        <w:rPr>
          <w:rFonts w:ascii="Arial" w:hAnsi="Arial" w:cs="Arial"/>
          <w:sz w:val="28"/>
          <w:szCs w:val="28"/>
          <w:lang w:val="el-GR"/>
        </w:rPr>
      </w:pPr>
      <w:r>
        <w:rPr>
          <w:rFonts w:ascii="Arial" w:hAnsi="Arial" w:cs="Arial"/>
          <w:sz w:val="28"/>
          <w:szCs w:val="28"/>
          <w:lang w:val="el-GR"/>
        </w:rPr>
        <w:t xml:space="preserve">    </w:t>
      </w:r>
      <w:r w:rsidR="00A72E5E" w:rsidRPr="00A44D98">
        <w:rPr>
          <w:rFonts w:ascii="Arial" w:hAnsi="Arial" w:cs="Arial"/>
          <w:sz w:val="28"/>
          <w:szCs w:val="28"/>
          <w:lang w:val="el-GR"/>
        </w:rPr>
        <w:t xml:space="preserve">Στη </w:t>
      </w:r>
      <w:r w:rsidR="00A72E5E" w:rsidRPr="00A44D98">
        <w:rPr>
          <w:rFonts w:ascii="Arial" w:hAnsi="Arial" w:cs="Arial"/>
          <w:b/>
          <w:bCs/>
          <w:i/>
          <w:iCs/>
          <w:sz w:val="28"/>
          <w:szCs w:val="28"/>
          <w:lang w:val="el-GR"/>
        </w:rPr>
        <w:t>Χ"Σάββα (1993) 1 Α.Α.Δ. 102</w:t>
      </w:r>
      <w:r w:rsidR="00A72E5E" w:rsidRPr="00A44D98">
        <w:rPr>
          <w:rFonts w:ascii="Arial" w:hAnsi="Arial" w:cs="Arial"/>
          <w:sz w:val="28"/>
          <w:szCs w:val="28"/>
          <w:lang w:val="el-GR"/>
        </w:rPr>
        <w:t xml:space="preserve">, 106-107, αναφέρθηκε ότι: </w:t>
      </w:r>
    </w:p>
    <w:p w14:paraId="444A3539" w14:textId="77777777" w:rsidR="00A72E5E" w:rsidRDefault="00A72E5E" w:rsidP="00A72E5E">
      <w:pPr>
        <w:spacing w:after="0" w:line="276" w:lineRule="auto"/>
        <w:ind w:left="567" w:right="702"/>
        <w:jc w:val="both"/>
        <w:rPr>
          <w:rFonts w:ascii="Arial" w:hAnsi="Arial" w:cs="Arial"/>
          <w:lang w:val="el-GR"/>
        </w:rPr>
      </w:pPr>
    </w:p>
    <w:p w14:paraId="6DE89296" w14:textId="77777777" w:rsidR="00A72E5E" w:rsidRDefault="00A72E5E" w:rsidP="00A72E5E">
      <w:pPr>
        <w:spacing w:after="0" w:line="276" w:lineRule="auto"/>
        <w:ind w:left="567" w:right="702"/>
        <w:jc w:val="both"/>
        <w:rPr>
          <w:rFonts w:ascii="Arial" w:hAnsi="Arial" w:cs="Arial"/>
          <w:lang w:val="el-GR"/>
        </w:rPr>
      </w:pPr>
    </w:p>
    <w:p w14:paraId="0E4C7E41" w14:textId="77777777" w:rsidR="00A72E5E" w:rsidRPr="006561F7"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«Το Ανώτατο Δικαστήριο έχει µε βάση την παράγραφο 4 του Άρθρου 155 του Συντάγµατος αποκλειστική δικαιοδοσία να εκδίδει προνοµιακά εντάλµατα, µεταξύ των οποίων συγκαταλέγονται και τα εντάλµατα της φύσεως </w:t>
      </w:r>
      <w:r w:rsidRPr="006561F7">
        <w:rPr>
          <w:rFonts w:ascii="Arial" w:hAnsi="Arial" w:cs="Arial"/>
          <w:sz w:val="28"/>
          <w:szCs w:val="28"/>
        </w:rPr>
        <w:t>Habeas</w:t>
      </w:r>
      <w:r w:rsidRPr="006561F7">
        <w:rPr>
          <w:rFonts w:ascii="Arial" w:hAnsi="Arial" w:cs="Arial"/>
          <w:sz w:val="28"/>
          <w:szCs w:val="28"/>
          <w:lang w:val="el-GR"/>
        </w:rPr>
        <w:t xml:space="preserve"> </w:t>
      </w:r>
      <w:r w:rsidRPr="006561F7">
        <w:rPr>
          <w:rFonts w:ascii="Arial" w:hAnsi="Arial" w:cs="Arial"/>
          <w:sz w:val="28"/>
          <w:szCs w:val="28"/>
        </w:rPr>
        <w:t>Corpus</w:t>
      </w:r>
      <w:r w:rsidRPr="006561F7">
        <w:rPr>
          <w:rFonts w:ascii="Arial" w:hAnsi="Arial" w:cs="Arial"/>
          <w:sz w:val="28"/>
          <w:szCs w:val="28"/>
          <w:lang w:val="el-GR"/>
        </w:rPr>
        <w:t xml:space="preserve">. </w:t>
      </w:r>
    </w:p>
    <w:p w14:paraId="27943D89" w14:textId="4C2DA13D" w:rsidR="00A72E5E" w:rsidRPr="006561F7" w:rsidRDefault="006561F7" w:rsidP="006561F7">
      <w:pPr>
        <w:spacing w:after="0" w:line="240" w:lineRule="auto"/>
        <w:ind w:left="567"/>
        <w:jc w:val="both"/>
        <w:rPr>
          <w:rFonts w:ascii="Arial" w:hAnsi="Arial" w:cs="Arial"/>
          <w:sz w:val="28"/>
          <w:szCs w:val="28"/>
          <w:lang w:val="el-GR"/>
        </w:rPr>
      </w:pPr>
      <w:r>
        <w:rPr>
          <w:rFonts w:ascii="Arial" w:hAnsi="Arial" w:cs="Arial"/>
          <w:sz w:val="28"/>
          <w:szCs w:val="28"/>
          <w:lang w:val="el-GR"/>
        </w:rPr>
        <w:t>…………………………………………………………………………..</w:t>
      </w:r>
    </w:p>
    <w:p w14:paraId="7D0973E7" w14:textId="77777777" w:rsidR="00A72E5E" w:rsidRPr="006561F7" w:rsidRDefault="00A72E5E" w:rsidP="006561F7">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Το </w:t>
      </w:r>
      <w:r w:rsidRPr="006561F7">
        <w:rPr>
          <w:rFonts w:ascii="Arial" w:hAnsi="Arial" w:cs="Arial"/>
          <w:sz w:val="28"/>
          <w:szCs w:val="28"/>
        </w:rPr>
        <w:t>Habeas</w:t>
      </w:r>
      <w:r w:rsidRPr="006561F7">
        <w:rPr>
          <w:rFonts w:ascii="Arial" w:hAnsi="Arial" w:cs="Arial"/>
          <w:sz w:val="28"/>
          <w:szCs w:val="28"/>
          <w:lang w:val="el-GR"/>
        </w:rPr>
        <w:t xml:space="preserve"> </w:t>
      </w:r>
      <w:r w:rsidRPr="006561F7">
        <w:rPr>
          <w:rFonts w:ascii="Arial" w:hAnsi="Arial" w:cs="Arial"/>
          <w:sz w:val="28"/>
          <w:szCs w:val="28"/>
        </w:rPr>
        <w:t>Corpus</w:t>
      </w:r>
      <w:r w:rsidRPr="006561F7">
        <w:rPr>
          <w:rFonts w:ascii="Arial" w:hAnsi="Arial" w:cs="Arial"/>
          <w:sz w:val="28"/>
          <w:szCs w:val="28"/>
          <w:lang w:val="el-GR"/>
        </w:rPr>
        <w:t xml:space="preserve"> </w:t>
      </w:r>
      <w:r w:rsidRPr="006561F7">
        <w:rPr>
          <w:rFonts w:ascii="Arial" w:hAnsi="Arial" w:cs="Arial"/>
          <w:sz w:val="28"/>
          <w:szCs w:val="28"/>
        </w:rPr>
        <w:t>Ad</w:t>
      </w:r>
      <w:r w:rsidRPr="006561F7">
        <w:rPr>
          <w:rFonts w:ascii="Arial" w:hAnsi="Arial" w:cs="Arial"/>
          <w:sz w:val="28"/>
          <w:szCs w:val="28"/>
          <w:lang w:val="el-GR"/>
        </w:rPr>
        <w:t xml:space="preserve">. </w:t>
      </w:r>
      <w:r w:rsidRPr="006561F7">
        <w:rPr>
          <w:rFonts w:ascii="Arial" w:hAnsi="Arial" w:cs="Arial"/>
          <w:sz w:val="28"/>
          <w:szCs w:val="28"/>
        </w:rPr>
        <w:t>Subjiciendum</w:t>
      </w:r>
      <w:r w:rsidRPr="006561F7">
        <w:rPr>
          <w:rFonts w:ascii="Arial" w:hAnsi="Arial" w:cs="Arial"/>
          <w:sz w:val="28"/>
          <w:szCs w:val="28"/>
          <w:lang w:val="el-GR"/>
        </w:rPr>
        <w:t xml:space="preserve"> είναι προνοµιακή διαδικασία για την εξασφάλιση της ελευθερίας του πολίτη, παρέχει αποτελεσµατικό µέσο άµεσης απελευθέρωσης από παράνοµη ή αδικαιολόγητη κράτηση, είτε στη φυλακή, είτε σε ιδιωτικό χώρο, από αρχή ή ιδιώτη. Με το ένταλµα αυτό διατάσσεται η προσαγωγή του κρατούµενου στο Δικαστήριο και η έρευνα αναφορικά µε την αιτία της φυλάκισης ή της κράτησης του. Εάν δεν υπάρχει νόµιµη δικαιολογία για την κράτηση διατάσσεται η απόλυση του κρατούµενου.»</w:t>
      </w:r>
    </w:p>
    <w:p w14:paraId="6CB8855F" w14:textId="77777777" w:rsidR="00D16634" w:rsidRDefault="00D16634" w:rsidP="00A72E5E">
      <w:pPr>
        <w:spacing w:before="240" w:after="0" w:line="480" w:lineRule="auto"/>
        <w:jc w:val="both"/>
        <w:rPr>
          <w:rFonts w:ascii="Arial" w:hAnsi="Arial" w:cs="Arial"/>
          <w:bCs/>
          <w:iCs/>
          <w:sz w:val="28"/>
          <w:szCs w:val="28"/>
          <w:lang w:val="el-GR"/>
        </w:rPr>
      </w:pPr>
    </w:p>
    <w:p w14:paraId="7EB4388F" w14:textId="30D8155E" w:rsidR="00A72E5E" w:rsidRPr="006D3D35" w:rsidRDefault="00DB32E1" w:rsidP="00A72E5E">
      <w:pPr>
        <w:spacing w:before="240" w:after="0" w:line="480" w:lineRule="auto"/>
        <w:jc w:val="both"/>
        <w:rPr>
          <w:rFonts w:ascii="Arial" w:hAnsi="Arial" w:cs="Arial"/>
          <w:bCs/>
          <w:iCs/>
          <w:sz w:val="28"/>
          <w:szCs w:val="28"/>
          <w:lang w:val="el-GR"/>
        </w:rPr>
      </w:pPr>
      <w:r>
        <w:rPr>
          <w:rFonts w:ascii="Arial" w:hAnsi="Arial" w:cs="Arial"/>
          <w:bCs/>
          <w:iCs/>
          <w:sz w:val="28"/>
          <w:szCs w:val="28"/>
          <w:lang w:val="el-GR"/>
        </w:rPr>
        <w:t xml:space="preserve">    Σ</w:t>
      </w:r>
      <w:r w:rsidR="00A72E5E">
        <w:rPr>
          <w:rFonts w:ascii="Arial" w:hAnsi="Arial" w:cs="Arial"/>
          <w:bCs/>
          <w:iCs/>
          <w:sz w:val="28"/>
          <w:szCs w:val="28"/>
          <w:lang w:val="el-GR"/>
        </w:rPr>
        <w:t xml:space="preserve">τη </w:t>
      </w:r>
      <w:r w:rsidR="00A72E5E" w:rsidRPr="00585310">
        <w:rPr>
          <w:rFonts w:ascii="Arial" w:hAnsi="Arial" w:cs="Arial"/>
          <w:b/>
          <w:i/>
          <w:sz w:val="28"/>
          <w:szCs w:val="28"/>
          <w:lang w:val="el-GR"/>
        </w:rPr>
        <w:t>Ζάνα (2013) 1(Β) Α.Α.Δ. 1156</w:t>
      </w:r>
      <w:r w:rsidR="00A72E5E">
        <w:rPr>
          <w:rFonts w:ascii="Arial" w:hAnsi="Arial" w:cs="Arial"/>
          <w:bCs/>
          <w:iCs/>
          <w:sz w:val="28"/>
          <w:szCs w:val="28"/>
          <w:lang w:val="el-GR"/>
        </w:rPr>
        <w:t>, 1162-3</w:t>
      </w:r>
      <w:r>
        <w:rPr>
          <w:rFonts w:ascii="Arial" w:hAnsi="Arial" w:cs="Arial"/>
          <w:bCs/>
          <w:iCs/>
          <w:sz w:val="28"/>
          <w:szCs w:val="28"/>
          <w:lang w:val="el-GR"/>
        </w:rPr>
        <w:t>,</w:t>
      </w:r>
      <w:r w:rsidR="00A72E5E">
        <w:rPr>
          <w:rFonts w:ascii="Arial" w:hAnsi="Arial" w:cs="Arial"/>
          <w:bCs/>
          <w:iCs/>
          <w:sz w:val="28"/>
          <w:szCs w:val="28"/>
          <w:lang w:val="el-GR"/>
        </w:rPr>
        <w:t xml:space="preserve"> αναφέρθηκε ότι:</w:t>
      </w:r>
    </w:p>
    <w:p w14:paraId="634D9D16" w14:textId="7F1C8893" w:rsidR="00A72E5E" w:rsidRPr="006561F7" w:rsidRDefault="00A72E5E" w:rsidP="006561F7">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«Η ελευθερία του ατόµου είναι το ύψιστο αγαθό που πρέπει να διασφαλίζεται σε κάθε δηµοκρατική κοινωνία, διεπόµενη από το κράτος δικαίου. Σε περίπτωση παράνοµης κράτησης ή περιορισµού προσφέρεται η δυνατότητα στον πολίτη να αµφισβητήσει τη νοµιµότητα της τοιαύτης κράτησης, µέσω του προνοµιακού εντάλµατος </w:t>
      </w:r>
      <w:r w:rsidRPr="006561F7">
        <w:rPr>
          <w:rFonts w:ascii="Arial" w:hAnsi="Arial" w:cs="Arial"/>
          <w:sz w:val="28"/>
          <w:szCs w:val="28"/>
        </w:rPr>
        <w:t>Habeas</w:t>
      </w:r>
      <w:r w:rsidRPr="006561F7">
        <w:rPr>
          <w:rFonts w:ascii="Arial" w:hAnsi="Arial" w:cs="Arial"/>
          <w:sz w:val="28"/>
          <w:szCs w:val="28"/>
          <w:lang w:val="el-GR"/>
        </w:rPr>
        <w:t xml:space="preserve"> </w:t>
      </w:r>
      <w:r w:rsidRPr="006561F7">
        <w:rPr>
          <w:rFonts w:ascii="Arial" w:hAnsi="Arial" w:cs="Arial"/>
          <w:sz w:val="28"/>
          <w:szCs w:val="28"/>
        </w:rPr>
        <w:t>Corpus</w:t>
      </w:r>
      <w:r w:rsidRPr="006561F7">
        <w:rPr>
          <w:rFonts w:ascii="Arial" w:hAnsi="Arial" w:cs="Arial"/>
          <w:sz w:val="28"/>
          <w:szCs w:val="28"/>
          <w:lang w:val="el-GR"/>
        </w:rPr>
        <w:t xml:space="preserve"> </w:t>
      </w:r>
      <w:r w:rsidRPr="006561F7">
        <w:rPr>
          <w:rFonts w:ascii="Arial" w:hAnsi="Arial" w:cs="Arial"/>
          <w:sz w:val="28"/>
          <w:szCs w:val="28"/>
        </w:rPr>
        <w:t>Ad</w:t>
      </w:r>
      <w:r w:rsidRPr="006561F7">
        <w:rPr>
          <w:rFonts w:ascii="Arial" w:hAnsi="Arial" w:cs="Arial"/>
          <w:sz w:val="28"/>
          <w:szCs w:val="28"/>
          <w:lang w:val="el-GR"/>
        </w:rPr>
        <w:t xml:space="preserve"> </w:t>
      </w:r>
      <w:r w:rsidRPr="006561F7">
        <w:rPr>
          <w:rFonts w:ascii="Arial" w:hAnsi="Arial" w:cs="Arial"/>
          <w:sz w:val="28"/>
          <w:szCs w:val="28"/>
        </w:rPr>
        <w:t>Subjiciendum</w:t>
      </w:r>
      <w:r w:rsidRPr="006561F7">
        <w:rPr>
          <w:rFonts w:ascii="Arial" w:hAnsi="Arial" w:cs="Arial"/>
          <w:sz w:val="28"/>
          <w:szCs w:val="28"/>
          <w:lang w:val="el-GR"/>
        </w:rPr>
        <w:t xml:space="preserve">. </w:t>
      </w:r>
    </w:p>
    <w:p w14:paraId="665F5BD0" w14:textId="77777777" w:rsidR="00D16634" w:rsidRDefault="00A72E5E" w:rsidP="006561F7">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Το ένταλµα </w:t>
      </w:r>
      <w:r w:rsidRPr="006561F7">
        <w:rPr>
          <w:rFonts w:ascii="Arial" w:hAnsi="Arial" w:cs="Arial"/>
          <w:sz w:val="28"/>
          <w:szCs w:val="28"/>
        </w:rPr>
        <w:t>Habeas</w:t>
      </w:r>
      <w:r w:rsidRPr="006561F7">
        <w:rPr>
          <w:rFonts w:ascii="Arial" w:hAnsi="Arial" w:cs="Arial"/>
          <w:sz w:val="28"/>
          <w:szCs w:val="28"/>
          <w:lang w:val="el-GR"/>
        </w:rPr>
        <w:t xml:space="preserve"> </w:t>
      </w:r>
      <w:r w:rsidRPr="006561F7">
        <w:rPr>
          <w:rFonts w:ascii="Arial" w:hAnsi="Arial" w:cs="Arial"/>
          <w:sz w:val="28"/>
          <w:szCs w:val="28"/>
        </w:rPr>
        <w:t>Corpus</w:t>
      </w:r>
      <w:r w:rsidRPr="006561F7">
        <w:rPr>
          <w:rFonts w:ascii="Arial" w:hAnsi="Arial" w:cs="Arial"/>
          <w:sz w:val="28"/>
          <w:szCs w:val="28"/>
          <w:lang w:val="el-GR"/>
        </w:rPr>
        <w:t xml:space="preserve"> είναι άµεσο δραστικό µέτρο για την απελευθέρωση ατόµου από παράνοµη ή αδικαιολόγητη κράτηση, είτε αυτή ενεργείται από δηµοσία αρχή, ή ιδιώτη. Είναι µια </w:t>
      </w:r>
      <w:r w:rsidRPr="006561F7">
        <w:rPr>
          <w:rFonts w:ascii="Arial" w:hAnsi="Arial" w:cs="Arial"/>
          <w:sz w:val="28"/>
          <w:szCs w:val="28"/>
          <w:lang w:val="el-GR"/>
        </w:rPr>
        <w:lastRenderedPageBreak/>
        <w:t>θεραπεία η οποία επικεντρώνεται στο πρόσωπο που τελεί υπό κράτηση»</w:t>
      </w:r>
      <w:r w:rsidR="00D16634">
        <w:rPr>
          <w:rFonts w:ascii="Arial" w:hAnsi="Arial" w:cs="Arial"/>
          <w:sz w:val="28"/>
          <w:szCs w:val="28"/>
          <w:lang w:val="el-GR"/>
        </w:rPr>
        <w:t>.</w:t>
      </w:r>
    </w:p>
    <w:p w14:paraId="339040BD" w14:textId="04630910" w:rsidR="00A72E5E" w:rsidRPr="006561F7" w:rsidRDefault="00A72E5E" w:rsidP="006561F7">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 </w:t>
      </w:r>
    </w:p>
    <w:p w14:paraId="52446EFB" w14:textId="77777777" w:rsidR="00A72E5E" w:rsidRPr="006F0B2C" w:rsidRDefault="00A72E5E" w:rsidP="00986B13">
      <w:pPr>
        <w:spacing w:after="0" w:line="276" w:lineRule="auto"/>
        <w:ind w:right="702"/>
        <w:jc w:val="both"/>
        <w:rPr>
          <w:rFonts w:ascii="Arial" w:hAnsi="Arial" w:cs="Arial"/>
          <w:lang w:val="el-GR"/>
        </w:rPr>
      </w:pPr>
    </w:p>
    <w:p w14:paraId="67942325" w14:textId="77777777" w:rsidR="00CB5214" w:rsidRDefault="00DB32E1" w:rsidP="00986B13">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A72E5E">
        <w:rPr>
          <w:rFonts w:ascii="Arial" w:hAnsi="Arial" w:cs="Arial"/>
          <w:sz w:val="28"/>
          <w:szCs w:val="28"/>
          <w:lang w:val="el-GR"/>
        </w:rPr>
        <w:t>Η νομολογία μας έχει</w:t>
      </w:r>
      <w:r w:rsidR="005D0B65">
        <w:rPr>
          <w:rFonts w:ascii="Arial" w:hAnsi="Arial" w:cs="Arial"/>
          <w:sz w:val="28"/>
          <w:szCs w:val="28"/>
          <w:lang w:val="el-GR"/>
        </w:rPr>
        <w:t xml:space="preserve"> τα</w:t>
      </w:r>
      <w:r w:rsidR="00A72E5E">
        <w:rPr>
          <w:rFonts w:ascii="Arial" w:hAnsi="Arial" w:cs="Arial"/>
          <w:sz w:val="28"/>
          <w:szCs w:val="28"/>
          <w:lang w:val="el-GR"/>
        </w:rPr>
        <w:t xml:space="preserve"> τελευταία </w:t>
      </w:r>
      <w:r w:rsidR="005D0B65">
        <w:rPr>
          <w:rFonts w:ascii="Arial" w:hAnsi="Arial" w:cs="Arial"/>
          <w:sz w:val="28"/>
          <w:szCs w:val="28"/>
          <w:lang w:val="el-GR"/>
        </w:rPr>
        <w:t xml:space="preserve">χρόνια </w:t>
      </w:r>
      <w:r w:rsidR="00A72E5E">
        <w:rPr>
          <w:rFonts w:ascii="Arial" w:hAnsi="Arial" w:cs="Arial"/>
          <w:sz w:val="28"/>
          <w:szCs w:val="28"/>
          <w:lang w:val="el-GR"/>
        </w:rPr>
        <w:t xml:space="preserve">εμπλουτιστεί με αποφάσεις όπου εξετάστηκαν αιτήσεις για </w:t>
      </w:r>
      <w:r w:rsidR="00A72E5E">
        <w:rPr>
          <w:rFonts w:ascii="Arial" w:hAnsi="Arial" w:cs="Arial"/>
          <w:sz w:val="28"/>
          <w:szCs w:val="28"/>
          <w:lang w:val="en-US"/>
        </w:rPr>
        <w:t>Habeas</w:t>
      </w:r>
      <w:r w:rsidR="00A72E5E">
        <w:rPr>
          <w:rFonts w:ascii="Arial" w:hAnsi="Arial" w:cs="Arial"/>
          <w:sz w:val="28"/>
          <w:szCs w:val="28"/>
          <w:lang w:val="el-GR"/>
        </w:rPr>
        <w:t xml:space="preserve"> </w:t>
      </w:r>
      <w:r w:rsidR="00A72E5E">
        <w:rPr>
          <w:rFonts w:ascii="Arial" w:hAnsi="Arial" w:cs="Arial"/>
          <w:sz w:val="28"/>
          <w:szCs w:val="28"/>
          <w:lang w:val="en-US"/>
        </w:rPr>
        <w:t>Corpus</w:t>
      </w:r>
      <w:r w:rsidR="00A72E5E">
        <w:rPr>
          <w:rFonts w:ascii="Arial" w:hAnsi="Arial" w:cs="Arial"/>
          <w:sz w:val="28"/>
          <w:szCs w:val="28"/>
          <w:lang w:val="el-GR"/>
        </w:rPr>
        <w:t xml:space="preserve"> από </w:t>
      </w:r>
      <w:r w:rsidR="00CB5214">
        <w:rPr>
          <w:rFonts w:ascii="Arial" w:hAnsi="Arial" w:cs="Arial"/>
          <w:sz w:val="28"/>
          <w:szCs w:val="28"/>
          <w:lang w:val="el-GR"/>
        </w:rPr>
        <w:t>πρόσωπα</w:t>
      </w:r>
      <w:r w:rsidR="00A72E5E">
        <w:rPr>
          <w:rFonts w:ascii="Arial" w:hAnsi="Arial" w:cs="Arial"/>
          <w:sz w:val="28"/>
          <w:szCs w:val="28"/>
          <w:lang w:val="el-GR"/>
        </w:rPr>
        <w:t xml:space="preserve"> που κρατούνταν για λόγους ασφάλειας της Δημοκρατίας.  </w:t>
      </w:r>
    </w:p>
    <w:p w14:paraId="5181B6D1" w14:textId="77777777" w:rsidR="00CB5214" w:rsidRDefault="00CB5214" w:rsidP="00CB5214">
      <w:pPr>
        <w:spacing w:after="0" w:line="480" w:lineRule="auto"/>
        <w:jc w:val="both"/>
        <w:rPr>
          <w:rFonts w:ascii="Arial" w:hAnsi="Arial" w:cs="Arial"/>
          <w:sz w:val="28"/>
          <w:szCs w:val="28"/>
          <w:lang w:val="el-GR"/>
        </w:rPr>
      </w:pPr>
    </w:p>
    <w:p w14:paraId="26626E39" w14:textId="35E62174" w:rsidR="00A72E5E" w:rsidRPr="006F0B2C" w:rsidRDefault="00CB5214" w:rsidP="00CB5214">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A72E5E">
        <w:rPr>
          <w:rFonts w:ascii="Arial" w:hAnsi="Arial" w:cs="Arial"/>
          <w:sz w:val="28"/>
          <w:szCs w:val="28"/>
          <w:lang w:val="el-GR"/>
        </w:rPr>
        <w:t xml:space="preserve">Στην </w:t>
      </w:r>
      <w:r w:rsidR="000C13A1">
        <w:rPr>
          <w:rFonts w:ascii="Arial" w:hAnsi="Arial" w:cs="Arial"/>
          <w:b/>
          <w:bCs/>
          <w:i/>
          <w:iCs/>
          <w:sz w:val="28"/>
          <w:szCs w:val="28"/>
          <w:lang w:val="en-US"/>
        </w:rPr>
        <w:t>Lakoud</w:t>
      </w:r>
      <w:r w:rsidR="00A72E5E" w:rsidRPr="00847653">
        <w:rPr>
          <w:rFonts w:ascii="Arial" w:hAnsi="Arial" w:cs="Arial"/>
          <w:b/>
          <w:bCs/>
          <w:i/>
          <w:iCs/>
          <w:sz w:val="28"/>
          <w:szCs w:val="28"/>
          <w:lang w:val="el-GR"/>
        </w:rPr>
        <w:t>, Πολ. Αίτ</w:t>
      </w:r>
      <w:r w:rsidR="00DB32E1">
        <w:rPr>
          <w:rFonts w:ascii="Arial" w:hAnsi="Arial" w:cs="Arial"/>
          <w:b/>
          <w:bCs/>
          <w:i/>
          <w:iCs/>
          <w:sz w:val="28"/>
          <w:szCs w:val="28"/>
          <w:lang w:val="el-GR"/>
        </w:rPr>
        <w:t>.</w:t>
      </w:r>
      <w:r w:rsidR="00A72E5E" w:rsidRPr="00847653">
        <w:rPr>
          <w:rFonts w:ascii="Arial" w:hAnsi="Arial" w:cs="Arial"/>
          <w:b/>
          <w:bCs/>
          <w:i/>
          <w:iCs/>
          <w:sz w:val="28"/>
          <w:szCs w:val="28"/>
          <w:lang w:val="el-GR"/>
        </w:rPr>
        <w:t xml:space="preserve"> </w:t>
      </w:r>
      <w:r w:rsidR="00DB32E1">
        <w:rPr>
          <w:rFonts w:ascii="Arial" w:hAnsi="Arial" w:cs="Arial"/>
          <w:b/>
          <w:bCs/>
          <w:i/>
          <w:iCs/>
          <w:sz w:val="28"/>
          <w:szCs w:val="28"/>
          <w:lang w:val="el-GR"/>
        </w:rPr>
        <w:t>Α</w:t>
      </w:r>
      <w:r w:rsidR="00A72E5E" w:rsidRPr="00847653">
        <w:rPr>
          <w:rFonts w:ascii="Arial" w:hAnsi="Arial" w:cs="Arial"/>
          <w:b/>
          <w:bCs/>
          <w:i/>
          <w:iCs/>
          <w:sz w:val="28"/>
          <w:szCs w:val="28"/>
          <w:lang w:val="el-GR"/>
        </w:rPr>
        <w:t>ρ.182/2019, ημερ.6.12.2019</w:t>
      </w:r>
      <w:r w:rsidR="00A72E5E">
        <w:rPr>
          <w:rFonts w:ascii="Arial" w:hAnsi="Arial" w:cs="Arial"/>
          <w:sz w:val="28"/>
          <w:szCs w:val="28"/>
          <w:lang w:val="el-GR"/>
        </w:rPr>
        <w:t>, αναφέρθηκε ότι:</w:t>
      </w:r>
    </w:p>
    <w:p w14:paraId="292B4EC9" w14:textId="77777777" w:rsidR="00A72E5E" w:rsidRPr="006561F7" w:rsidRDefault="00A72E5E" w:rsidP="006561F7">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«Το δικαίωμα του αιτητή σε αποτελεσματική δικαστική προστασία δεν μπορεί παρά να εξεταστεί σε συνάρτηση με την προστασία της εθνικής ασφάλειας του κράτους. H νομολογία του ΔΕΕ επί του θέματος καθορίζει ότι η προστασία της εθνικής ασφάλειας και της δημόσιας τάξης αποτελεί το σκοπό του άρθρου 8 της Οδηγίας 2013/33. Όταν διακυβεύεται η εθνική ασφάλεια ή η δημόσια τάξη, η κράτηση ενός προσώπου είναι πρόσφορο μέτρο που στοχεύει στην προστασία του κοινού από ενδεχόμενο κίνδυνο που η συμπεριφορά του συγκεκριμένου ατόμου επιβάλλει. (</w:t>
      </w:r>
      <w:r w:rsidRPr="006561F7">
        <w:rPr>
          <w:rFonts w:ascii="Arial" w:hAnsi="Arial" w:cs="Arial"/>
          <w:b/>
          <w:bCs/>
          <w:i/>
          <w:iCs/>
          <w:sz w:val="28"/>
          <w:szCs w:val="28"/>
          <w:lang w:val="en-US"/>
        </w:rPr>
        <w:t>J</w:t>
      </w:r>
      <w:r w:rsidRPr="006561F7">
        <w:rPr>
          <w:rFonts w:ascii="Arial" w:hAnsi="Arial" w:cs="Arial"/>
          <w:b/>
          <w:bCs/>
          <w:i/>
          <w:iCs/>
          <w:sz w:val="28"/>
          <w:szCs w:val="28"/>
          <w:lang w:val="el-GR"/>
        </w:rPr>
        <w:t>.</w:t>
      </w:r>
      <w:r w:rsidRPr="006561F7">
        <w:rPr>
          <w:rFonts w:ascii="Arial" w:hAnsi="Arial" w:cs="Arial"/>
          <w:b/>
          <w:bCs/>
          <w:i/>
          <w:iCs/>
          <w:sz w:val="28"/>
          <w:szCs w:val="28"/>
          <w:lang w:val="en-US"/>
        </w:rPr>
        <w:t>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Staatssecretaris</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van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Veilingheid</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en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Justice</w:t>
      </w:r>
      <w:r w:rsidRPr="006561F7">
        <w:rPr>
          <w:rFonts w:ascii="Arial" w:hAnsi="Arial" w:cs="Arial"/>
          <w:b/>
          <w:bCs/>
          <w:i/>
          <w:iCs/>
          <w:sz w:val="28"/>
          <w:szCs w:val="28"/>
          <w:lang w:val="el-GR"/>
        </w:rPr>
        <w:t xml:space="preserve"> 15.2.2016</w:t>
      </w:r>
      <w:r w:rsidRPr="006561F7">
        <w:rPr>
          <w:rFonts w:ascii="Arial" w:hAnsi="Arial" w:cs="Arial"/>
          <w:sz w:val="28"/>
          <w:szCs w:val="28"/>
          <w:lang w:val="el-GR"/>
        </w:rPr>
        <w:t>).</w:t>
      </w:r>
    </w:p>
    <w:p w14:paraId="7D7A32D5" w14:textId="77777777" w:rsidR="00A72E5E" w:rsidRPr="006561F7" w:rsidRDefault="00A72E5E" w:rsidP="006561F7">
      <w:pPr>
        <w:spacing w:after="0" w:line="240" w:lineRule="auto"/>
        <w:ind w:left="567"/>
        <w:jc w:val="both"/>
        <w:rPr>
          <w:rFonts w:ascii="Arial" w:hAnsi="Arial" w:cs="Arial"/>
          <w:sz w:val="28"/>
          <w:szCs w:val="28"/>
          <w:lang w:val="el-GR"/>
        </w:rPr>
      </w:pPr>
    </w:p>
    <w:p w14:paraId="2E5A3080" w14:textId="43CC48D3" w:rsidR="00A72E5E" w:rsidRDefault="00A72E5E" w:rsidP="00D16634">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Στην υπόθεση </w:t>
      </w:r>
      <w:r w:rsidRPr="006561F7">
        <w:rPr>
          <w:rFonts w:ascii="Arial" w:hAnsi="Arial" w:cs="Arial"/>
          <w:b/>
          <w:bCs/>
          <w:i/>
          <w:iCs/>
          <w:sz w:val="28"/>
          <w:szCs w:val="28"/>
          <w:lang w:val="el-GR"/>
        </w:rPr>
        <w:t>C-584/10, Ευρωπαϊκή Επιτροπή ν. Kadi, 18.7.2013</w:t>
      </w:r>
      <w:r w:rsidRPr="006561F7">
        <w:rPr>
          <w:rFonts w:ascii="Arial" w:hAnsi="Arial" w:cs="Arial"/>
          <w:sz w:val="28"/>
          <w:szCs w:val="28"/>
          <w:lang w:val="el-GR"/>
        </w:rPr>
        <w:t>, τονίστηκε ότι η ύπαρξη προσβολής των δικαιωμάτων άμυνας και του δικαιώματος επί αποτελεσματικής δικαστικής προστασίας, πρέπει να εκτιμάται σε συνάρτηση με την επιταγή που αφορά τη διατήρηση της διεθνούς ειρήνης και ασφάλειας»</w:t>
      </w:r>
      <w:r w:rsidR="00D16634">
        <w:rPr>
          <w:rFonts w:ascii="Arial" w:hAnsi="Arial" w:cs="Arial"/>
          <w:sz w:val="28"/>
          <w:szCs w:val="28"/>
          <w:lang w:val="el-GR"/>
        </w:rPr>
        <w:t>.</w:t>
      </w:r>
    </w:p>
    <w:p w14:paraId="7FBF40A9" w14:textId="77777777" w:rsidR="00986B13" w:rsidRDefault="00986B13" w:rsidP="00D16634">
      <w:pPr>
        <w:spacing w:after="0" w:line="240" w:lineRule="auto"/>
        <w:ind w:left="567"/>
        <w:jc w:val="both"/>
        <w:rPr>
          <w:rFonts w:ascii="Arial" w:hAnsi="Arial" w:cs="Arial"/>
          <w:sz w:val="28"/>
          <w:szCs w:val="28"/>
          <w:lang w:val="el-GR"/>
        </w:rPr>
      </w:pPr>
    </w:p>
    <w:p w14:paraId="6E9ADECA" w14:textId="77777777" w:rsidR="00986B13" w:rsidRDefault="00986B13" w:rsidP="00D16634">
      <w:pPr>
        <w:spacing w:after="0" w:line="240" w:lineRule="auto"/>
        <w:ind w:left="567"/>
        <w:jc w:val="both"/>
        <w:rPr>
          <w:rFonts w:ascii="Arial" w:hAnsi="Arial" w:cs="Arial"/>
          <w:sz w:val="28"/>
          <w:szCs w:val="28"/>
          <w:lang w:val="el-GR"/>
        </w:rPr>
      </w:pPr>
    </w:p>
    <w:p w14:paraId="31AC7873" w14:textId="77777777" w:rsidR="00986B13" w:rsidRDefault="00986B13" w:rsidP="00D16634">
      <w:pPr>
        <w:spacing w:after="0" w:line="240" w:lineRule="auto"/>
        <w:ind w:left="567"/>
        <w:jc w:val="both"/>
        <w:rPr>
          <w:rFonts w:ascii="Arial" w:hAnsi="Arial" w:cs="Arial"/>
          <w:lang w:val="el-GR"/>
        </w:rPr>
      </w:pPr>
    </w:p>
    <w:p w14:paraId="09A2C7AC" w14:textId="55174975" w:rsidR="00A72E5E" w:rsidRPr="006D3D35" w:rsidRDefault="000C13A1" w:rsidP="00A72E5E">
      <w:pPr>
        <w:spacing w:before="240" w:after="0" w:line="480" w:lineRule="auto"/>
        <w:jc w:val="both"/>
        <w:rPr>
          <w:rFonts w:ascii="Arial" w:hAnsi="Arial" w:cs="Arial"/>
          <w:sz w:val="28"/>
          <w:szCs w:val="28"/>
          <w:lang w:val="el-GR"/>
        </w:rPr>
      </w:pPr>
      <w:r w:rsidRPr="000C13A1">
        <w:rPr>
          <w:rFonts w:ascii="Arial" w:hAnsi="Arial" w:cs="Arial"/>
          <w:sz w:val="28"/>
          <w:szCs w:val="28"/>
          <w:lang w:val="el-GR"/>
        </w:rPr>
        <w:t xml:space="preserve">    </w:t>
      </w:r>
      <w:r w:rsidR="00A72E5E">
        <w:rPr>
          <w:rFonts w:ascii="Arial" w:hAnsi="Arial" w:cs="Arial"/>
          <w:sz w:val="28"/>
          <w:szCs w:val="28"/>
          <w:lang w:val="el-GR"/>
        </w:rPr>
        <w:t xml:space="preserve">Στην </w:t>
      </w:r>
      <w:r w:rsidR="00A72E5E" w:rsidRPr="00B5133B">
        <w:rPr>
          <w:rFonts w:ascii="Arial" w:hAnsi="Arial" w:cs="Arial"/>
          <w:b/>
          <w:bCs/>
          <w:i/>
          <w:iCs/>
          <w:sz w:val="28"/>
          <w:szCs w:val="28"/>
          <w:lang w:val="en-US"/>
        </w:rPr>
        <w:t>Yazen</w:t>
      </w:r>
      <w:r w:rsidR="00A72E5E" w:rsidRPr="00847653">
        <w:rPr>
          <w:rFonts w:ascii="Arial" w:hAnsi="Arial" w:cs="Arial"/>
          <w:b/>
          <w:bCs/>
          <w:i/>
          <w:iCs/>
          <w:sz w:val="28"/>
          <w:szCs w:val="28"/>
          <w:lang w:val="el-GR"/>
        </w:rPr>
        <w:t>, Πολ. Αίτ</w:t>
      </w:r>
      <w:r w:rsidRPr="000C13A1">
        <w:rPr>
          <w:rFonts w:ascii="Arial" w:hAnsi="Arial" w:cs="Arial"/>
          <w:b/>
          <w:bCs/>
          <w:i/>
          <w:iCs/>
          <w:sz w:val="28"/>
          <w:szCs w:val="28"/>
          <w:lang w:val="el-GR"/>
        </w:rPr>
        <w:t xml:space="preserve">. </w:t>
      </w:r>
      <w:r>
        <w:rPr>
          <w:rFonts w:ascii="Arial" w:hAnsi="Arial" w:cs="Arial"/>
          <w:b/>
          <w:bCs/>
          <w:i/>
          <w:iCs/>
          <w:sz w:val="28"/>
          <w:szCs w:val="28"/>
          <w:lang w:val="en-US"/>
        </w:rPr>
        <w:t>A</w:t>
      </w:r>
      <w:r w:rsidR="00A72E5E" w:rsidRPr="00847653">
        <w:rPr>
          <w:rFonts w:ascii="Arial" w:hAnsi="Arial" w:cs="Arial"/>
          <w:b/>
          <w:bCs/>
          <w:i/>
          <w:iCs/>
          <w:sz w:val="28"/>
          <w:szCs w:val="28"/>
          <w:lang w:val="el-GR"/>
        </w:rPr>
        <w:t>ρ.</w:t>
      </w:r>
      <w:r w:rsidR="00A72E5E">
        <w:rPr>
          <w:rFonts w:ascii="Arial" w:hAnsi="Arial" w:cs="Arial"/>
          <w:b/>
          <w:bCs/>
          <w:i/>
          <w:iCs/>
          <w:sz w:val="28"/>
          <w:szCs w:val="28"/>
          <w:lang w:val="el-GR"/>
        </w:rPr>
        <w:t>202</w:t>
      </w:r>
      <w:r w:rsidR="00A72E5E" w:rsidRPr="00847653">
        <w:rPr>
          <w:rFonts w:ascii="Arial" w:hAnsi="Arial" w:cs="Arial"/>
          <w:b/>
          <w:bCs/>
          <w:i/>
          <w:iCs/>
          <w:sz w:val="28"/>
          <w:szCs w:val="28"/>
          <w:lang w:val="el-GR"/>
        </w:rPr>
        <w:t>/2019, ημερ.</w:t>
      </w:r>
      <w:r w:rsidR="00A72E5E">
        <w:rPr>
          <w:rFonts w:ascii="Arial" w:hAnsi="Arial" w:cs="Arial"/>
          <w:b/>
          <w:bCs/>
          <w:i/>
          <w:iCs/>
          <w:sz w:val="28"/>
          <w:szCs w:val="28"/>
          <w:lang w:val="el-GR"/>
        </w:rPr>
        <w:t>30.1.2020</w:t>
      </w:r>
      <w:r w:rsidR="00A72E5E">
        <w:rPr>
          <w:rFonts w:ascii="Arial" w:hAnsi="Arial" w:cs="Arial"/>
          <w:sz w:val="28"/>
          <w:szCs w:val="28"/>
          <w:lang w:val="el-GR"/>
        </w:rPr>
        <w:t xml:space="preserve">, </w:t>
      </w:r>
      <w:r w:rsidR="00A72E5E" w:rsidRPr="00B5133B">
        <w:rPr>
          <w:rFonts w:ascii="Arial" w:hAnsi="Arial" w:cs="Arial"/>
          <w:sz w:val="28"/>
          <w:szCs w:val="28"/>
          <w:lang w:val="el-GR"/>
        </w:rPr>
        <w:t>αναφέρθηκε</w:t>
      </w:r>
      <w:r w:rsidR="00A72E5E">
        <w:rPr>
          <w:rFonts w:ascii="Arial" w:hAnsi="Arial" w:cs="Arial"/>
          <w:sz w:val="28"/>
          <w:szCs w:val="28"/>
          <w:lang w:val="el-GR"/>
        </w:rPr>
        <w:t xml:space="preserve"> ότι, κατά τον έλεγχο της νομιμότητας της διάρκειας κράτησης που </w:t>
      </w:r>
      <w:r w:rsidR="00A72E5E">
        <w:rPr>
          <w:rFonts w:ascii="Arial" w:hAnsi="Arial" w:cs="Arial"/>
          <w:sz w:val="28"/>
          <w:szCs w:val="28"/>
          <w:lang w:val="el-GR"/>
        </w:rPr>
        <w:lastRenderedPageBreak/>
        <w:t>διατάχθηκε ως απαιτούμενη για την προστασία της δημόσιας ασφάλειας ή της δημόσιας τάξης:</w:t>
      </w:r>
    </w:p>
    <w:p w14:paraId="6467F3B6" w14:textId="2073557B" w:rsidR="00A72E5E" w:rsidRPr="006561F7" w:rsidRDefault="00A72E5E" w:rsidP="005D0B65">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 είναι αναγκαίο να εξισορροπείται το δικαίωμα του κράτους να προστατεύει την εθνική ασφάλεια και τη δημόσια τάξη, με τα δικαιώματα και</w:t>
      </w:r>
      <w:r w:rsidR="005D0B65">
        <w:rPr>
          <w:rFonts w:ascii="Arial" w:hAnsi="Arial" w:cs="Arial"/>
          <w:sz w:val="28"/>
          <w:szCs w:val="28"/>
          <w:lang w:val="el-GR"/>
        </w:rPr>
        <w:t xml:space="preserve"> </w:t>
      </w:r>
      <w:r w:rsidRPr="006561F7">
        <w:rPr>
          <w:rFonts w:ascii="Arial" w:hAnsi="Arial" w:cs="Arial"/>
          <w:sz w:val="28"/>
          <w:szCs w:val="28"/>
          <w:lang w:val="el-GR"/>
        </w:rPr>
        <w:t>ελευθερίες που αναγνωρίζονται κατά το άρθρο 52 παράγραφος (1) του Χάρτη Θεμελιωδών Δικαιωμάτων της Ευρωπαϊκής Ένωσης, εφαρμόζοντας, κατά την αρχή της αναλογικότητας, περιορισμούς επιτρεπόμενους μόνο εφόσον είναι αναγκαίοι και ανταποκρίνονται πραγματικά στους σκοπούς γενικού συμφέροντος που αναγνωρίζει η Ένωση και στην ανάγκη προστασίας των δικαιωμάτων και ελευθεριών τρίτων, (</w:t>
      </w:r>
      <w:r w:rsidRPr="006561F7">
        <w:rPr>
          <w:rFonts w:ascii="Arial" w:hAnsi="Arial" w:cs="Arial"/>
          <w:b/>
          <w:bCs/>
          <w:i/>
          <w:iCs/>
          <w:sz w:val="28"/>
          <w:szCs w:val="28"/>
          <w:lang w:val="el-GR"/>
        </w:rPr>
        <w:t>J.N. v.</w:t>
      </w:r>
      <w:r w:rsidRPr="006561F7">
        <w:rPr>
          <w:rFonts w:ascii="Arial" w:hAnsi="Arial" w:cs="Arial"/>
          <w:sz w:val="28"/>
          <w:szCs w:val="28"/>
          <w:lang w:val="el-GR"/>
        </w:rPr>
        <w:t xml:space="preserve"> </w:t>
      </w:r>
      <w:r w:rsidRPr="006561F7">
        <w:rPr>
          <w:rFonts w:ascii="Arial" w:hAnsi="Arial" w:cs="Arial"/>
          <w:b/>
          <w:bCs/>
          <w:i/>
          <w:iCs/>
          <w:sz w:val="28"/>
          <w:szCs w:val="28"/>
          <w:lang w:val="en-US"/>
        </w:rPr>
        <w:t>Staatssecretaris</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van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Veiligheid</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en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Justitie</w:t>
      </w:r>
      <w:r w:rsidRPr="006561F7">
        <w:rPr>
          <w:rFonts w:ascii="Arial" w:hAnsi="Arial" w:cs="Arial"/>
          <w:sz w:val="28"/>
          <w:szCs w:val="28"/>
          <w:lang w:val="el-GR"/>
        </w:rPr>
        <w:t xml:space="preserve">, </w:t>
      </w:r>
      <w:r w:rsidRPr="006561F7">
        <w:rPr>
          <w:rFonts w:ascii="Arial" w:hAnsi="Arial" w:cs="Arial"/>
          <w:sz w:val="28"/>
          <w:szCs w:val="28"/>
          <w:lang w:val="en-US"/>
        </w:rPr>
        <w:t>C</w:t>
      </w:r>
      <w:r w:rsidRPr="006561F7">
        <w:rPr>
          <w:rFonts w:ascii="Arial" w:hAnsi="Arial" w:cs="Arial"/>
          <w:sz w:val="28"/>
          <w:szCs w:val="28"/>
          <w:lang w:val="el-GR"/>
        </w:rPr>
        <w:t>-601/15/</w:t>
      </w:r>
      <w:r w:rsidRPr="006561F7">
        <w:rPr>
          <w:rFonts w:ascii="Arial" w:hAnsi="Arial" w:cs="Arial"/>
          <w:sz w:val="28"/>
          <w:szCs w:val="28"/>
          <w:lang w:val="en-US"/>
        </w:rPr>
        <w:t>PPU</w:t>
      </w:r>
      <w:r w:rsidRPr="006561F7">
        <w:rPr>
          <w:rFonts w:ascii="Arial" w:hAnsi="Arial" w:cs="Arial"/>
          <w:sz w:val="28"/>
          <w:szCs w:val="28"/>
          <w:lang w:val="el-GR"/>
        </w:rPr>
        <w:t xml:space="preserve"> του ΔΕΕ, σκέψεις 49-50). Παρόμοια</w:t>
      </w:r>
      <w:r w:rsidRPr="006561F7">
        <w:rPr>
          <w:rFonts w:ascii="Arial" w:hAnsi="Arial" w:cs="Arial"/>
          <w:sz w:val="28"/>
          <w:szCs w:val="28"/>
          <w:lang w:val="en-US"/>
        </w:rPr>
        <w:t xml:space="preserve">, </w:t>
      </w:r>
      <w:r w:rsidRPr="006561F7">
        <w:rPr>
          <w:rFonts w:ascii="Arial" w:hAnsi="Arial" w:cs="Arial"/>
          <w:sz w:val="28"/>
          <w:szCs w:val="28"/>
          <w:lang w:val="el-GR"/>
        </w:rPr>
        <w:t>στη</w:t>
      </w:r>
      <w:r w:rsidRPr="006561F7">
        <w:rPr>
          <w:rFonts w:ascii="Arial" w:hAnsi="Arial" w:cs="Arial"/>
          <w:sz w:val="28"/>
          <w:szCs w:val="28"/>
          <w:lang w:val="en-US"/>
        </w:rPr>
        <w:t xml:space="preserve"> </w:t>
      </w:r>
      <w:r w:rsidRPr="006561F7">
        <w:rPr>
          <w:rFonts w:ascii="Arial" w:hAnsi="Arial" w:cs="Arial"/>
          <w:sz w:val="28"/>
          <w:szCs w:val="28"/>
          <w:lang w:val="el-GR"/>
        </w:rPr>
        <w:t>νομολογία</w:t>
      </w:r>
      <w:r w:rsidRPr="006561F7">
        <w:rPr>
          <w:rFonts w:ascii="Arial" w:hAnsi="Arial" w:cs="Arial"/>
          <w:sz w:val="28"/>
          <w:szCs w:val="28"/>
          <w:lang w:val="en-US"/>
        </w:rPr>
        <w:t xml:space="preserve"> </w:t>
      </w:r>
      <w:r w:rsidRPr="006561F7">
        <w:rPr>
          <w:rFonts w:ascii="Arial" w:hAnsi="Arial" w:cs="Arial"/>
          <w:sz w:val="28"/>
          <w:szCs w:val="28"/>
          <w:lang w:val="el-GR"/>
        </w:rPr>
        <w:t>του</w:t>
      </w:r>
      <w:r w:rsidRPr="006561F7">
        <w:rPr>
          <w:rFonts w:ascii="Arial" w:hAnsi="Arial" w:cs="Arial"/>
          <w:sz w:val="28"/>
          <w:szCs w:val="28"/>
          <w:lang w:val="en-US"/>
        </w:rPr>
        <w:t xml:space="preserve"> </w:t>
      </w:r>
      <w:r w:rsidRPr="006561F7">
        <w:rPr>
          <w:rFonts w:ascii="Arial" w:hAnsi="Arial" w:cs="Arial"/>
          <w:sz w:val="28"/>
          <w:szCs w:val="28"/>
          <w:lang w:val="el-GR"/>
        </w:rPr>
        <w:t>ΕΔΑΔ</w:t>
      </w:r>
      <w:r w:rsidRPr="006561F7">
        <w:rPr>
          <w:rFonts w:ascii="Arial" w:hAnsi="Arial" w:cs="Arial"/>
          <w:sz w:val="28"/>
          <w:szCs w:val="28"/>
          <w:lang w:val="en-US"/>
        </w:rPr>
        <w:t xml:space="preserve"> </w:t>
      </w:r>
      <w:r w:rsidRPr="006561F7">
        <w:rPr>
          <w:rFonts w:ascii="Arial" w:hAnsi="Arial" w:cs="Arial"/>
          <w:sz w:val="28"/>
          <w:szCs w:val="28"/>
          <w:lang w:val="el-GR"/>
        </w:rPr>
        <w:t>στην</w:t>
      </w:r>
      <w:r w:rsidRPr="006561F7">
        <w:rPr>
          <w:rFonts w:ascii="Arial" w:hAnsi="Arial" w:cs="Arial"/>
          <w:sz w:val="28"/>
          <w:szCs w:val="28"/>
          <w:lang w:val="en-US"/>
        </w:rPr>
        <w:t xml:space="preserve"> </w:t>
      </w:r>
      <w:r w:rsidRPr="006561F7">
        <w:rPr>
          <w:rFonts w:ascii="Arial" w:hAnsi="Arial" w:cs="Arial"/>
          <w:sz w:val="28"/>
          <w:szCs w:val="28"/>
          <w:lang w:val="el-GR"/>
        </w:rPr>
        <w:t>υπόθεση</w:t>
      </w:r>
      <w:r w:rsidRPr="006561F7">
        <w:rPr>
          <w:rFonts w:ascii="Arial" w:hAnsi="Arial" w:cs="Arial"/>
          <w:sz w:val="28"/>
          <w:szCs w:val="28"/>
          <w:lang w:val="en-US"/>
        </w:rPr>
        <w:t xml:space="preserve"> </w:t>
      </w:r>
      <w:r w:rsidRPr="006561F7">
        <w:rPr>
          <w:rFonts w:ascii="Arial" w:hAnsi="Arial" w:cs="Arial"/>
          <w:b/>
          <w:bCs/>
          <w:i/>
          <w:iCs/>
          <w:sz w:val="28"/>
          <w:szCs w:val="28"/>
          <w:lang w:val="en-US"/>
        </w:rPr>
        <w:t>A and Others v. The United Kingdom</w:t>
      </w:r>
      <w:r w:rsidRPr="006561F7">
        <w:rPr>
          <w:rFonts w:ascii="Arial" w:hAnsi="Arial" w:cs="Arial"/>
          <w:sz w:val="28"/>
          <w:szCs w:val="28"/>
          <w:lang w:val="en-US"/>
        </w:rPr>
        <w:t xml:space="preserve">, Application no. 3455/05, </w:t>
      </w:r>
      <w:r w:rsidRPr="006561F7">
        <w:rPr>
          <w:rFonts w:ascii="Arial" w:hAnsi="Arial" w:cs="Arial"/>
          <w:sz w:val="28"/>
          <w:szCs w:val="28"/>
          <w:lang w:val="el-GR"/>
        </w:rPr>
        <w:t>ημερ</w:t>
      </w:r>
      <w:r w:rsidRPr="006561F7">
        <w:rPr>
          <w:rFonts w:ascii="Arial" w:hAnsi="Arial" w:cs="Arial"/>
          <w:sz w:val="28"/>
          <w:szCs w:val="28"/>
          <w:lang w:val="en-US"/>
        </w:rPr>
        <w:t xml:space="preserve">. </w:t>
      </w:r>
      <w:r w:rsidRPr="006561F7">
        <w:rPr>
          <w:rFonts w:ascii="Arial" w:hAnsi="Arial" w:cs="Arial"/>
          <w:sz w:val="28"/>
          <w:szCs w:val="28"/>
          <w:lang w:val="el-GR"/>
        </w:rPr>
        <w:t>19.2.2009, η σχετική πρόνοια στη Σύμβαση Ανθρωπίνων Δικαιωμάτων του Συμβουλίου της Ευρώπης του άρθρου 5 παράγραφος (1), έχει επίσης ερμηνευθεί αναλόγως ούτως ώστε να διασφαλίζεται αφενός στον κρατούμενο το δικαίωμα πρόσβασης στο Δικαστήριο και το δικαίωμα δίκαιης δίκης, σε</w:t>
      </w:r>
      <w:r w:rsidRPr="006561F7">
        <w:rPr>
          <w:sz w:val="28"/>
          <w:szCs w:val="28"/>
          <w:lang w:val="el-GR"/>
        </w:rPr>
        <w:t xml:space="preserve"> </w:t>
      </w:r>
      <w:r w:rsidRPr="006561F7">
        <w:rPr>
          <w:rFonts w:ascii="Arial" w:hAnsi="Arial" w:cs="Arial"/>
          <w:sz w:val="28"/>
          <w:szCs w:val="28"/>
          <w:lang w:val="el-GR"/>
        </w:rPr>
        <w:t>συνάρτηση πάντοτε με την ανάγκη προστασίας του εθνικού συμφέροντος, οπότε και είναι δυνατόν να τεθούν, παρά το αντιπαραθετικό σύστημα, περιορισμοί στη διεξαγωγή της δίκης.</w:t>
      </w:r>
    </w:p>
    <w:p w14:paraId="02FD8083" w14:textId="77777777" w:rsidR="00A72E5E" w:rsidRPr="006561F7" w:rsidRDefault="00A72E5E" w:rsidP="006561F7">
      <w:pPr>
        <w:spacing w:after="0" w:line="240" w:lineRule="auto"/>
        <w:ind w:left="567"/>
        <w:jc w:val="both"/>
        <w:rPr>
          <w:rFonts w:ascii="Arial" w:hAnsi="Arial" w:cs="Arial"/>
          <w:sz w:val="28"/>
          <w:szCs w:val="28"/>
          <w:lang w:val="el-GR"/>
        </w:rPr>
      </w:pPr>
    </w:p>
    <w:p w14:paraId="5237CA93" w14:textId="77777777" w:rsidR="00A72E5E"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Στο σύγγραμμα των </w:t>
      </w:r>
      <w:r w:rsidRPr="006561F7">
        <w:rPr>
          <w:rFonts w:ascii="Arial" w:hAnsi="Arial" w:cs="Arial"/>
          <w:b/>
          <w:bCs/>
          <w:i/>
          <w:iCs/>
          <w:sz w:val="28"/>
          <w:szCs w:val="28"/>
          <w:lang w:val="en-US"/>
        </w:rPr>
        <w:t>Jacobs</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White</w:t>
      </w:r>
      <w:r w:rsidRPr="006561F7">
        <w:rPr>
          <w:rFonts w:ascii="Arial" w:hAnsi="Arial" w:cs="Arial"/>
          <w:b/>
          <w:bCs/>
          <w:i/>
          <w:iCs/>
          <w:sz w:val="28"/>
          <w:szCs w:val="28"/>
          <w:lang w:val="el-GR"/>
        </w:rPr>
        <w:t xml:space="preserve"> &amp; </w:t>
      </w:r>
      <w:r w:rsidRPr="006561F7">
        <w:rPr>
          <w:rFonts w:ascii="Arial" w:hAnsi="Arial" w:cs="Arial"/>
          <w:b/>
          <w:bCs/>
          <w:i/>
          <w:iCs/>
          <w:sz w:val="28"/>
          <w:szCs w:val="28"/>
          <w:lang w:val="en-US"/>
        </w:rPr>
        <w:t>Ovey</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The</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European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Convention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of</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Human</w:t>
      </w:r>
      <w:r w:rsidRPr="006561F7">
        <w:rPr>
          <w:rFonts w:ascii="Arial" w:hAnsi="Arial" w:cs="Arial"/>
          <w:b/>
          <w:bCs/>
          <w:i/>
          <w:iCs/>
          <w:sz w:val="28"/>
          <w:szCs w:val="28"/>
          <w:lang w:val="el-GR"/>
        </w:rPr>
        <w:t xml:space="preserve"> Rights</w:t>
      </w:r>
      <w:r w:rsidRPr="006561F7">
        <w:rPr>
          <w:rFonts w:ascii="Arial" w:hAnsi="Arial" w:cs="Arial"/>
          <w:sz w:val="28"/>
          <w:szCs w:val="28"/>
          <w:lang w:val="el-GR"/>
        </w:rPr>
        <w:t>, 5η έκδ., σελ. 236 κ.ε., σε σχέση με το δικαίωμα ελέγχου της κράτησης κάτω από το Άρθρο 5(4), αναφέρεται ότι δεν διασφαλίζεται δικαίωμα σε «judicial review» τέτοιας έκτασης που να δίδει στο Δικαστήριο την ευχέρεια να υποκαταστήσει τη δική του ευχέρεια γι΄ αυτή της διοίκησης. Πρέπει όμως να είναι ευρεία ώστε να εξετάζονται εκείνες οι συνθήκες που καθιστούν την κράτηση νόμιμη («lawful») σύμφωνα με το Άρθρο 5(1), (</w:t>
      </w:r>
      <w:r w:rsidRPr="006561F7">
        <w:rPr>
          <w:rFonts w:ascii="Arial" w:hAnsi="Arial" w:cs="Arial"/>
          <w:b/>
          <w:bCs/>
          <w:i/>
          <w:iCs/>
          <w:sz w:val="28"/>
          <w:szCs w:val="28"/>
          <w:lang w:val="el-GR"/>
        </w:rPr>
        <w:t>E. v. Norway</w:t>
      </w:r>
      <w:r w:rsidRPr="006561F7">
        <w:rPr>
          <w:rFonts w:ascii="Arial" w:hAnsi="Arial" w:cs="Arial"/>
          <w:sz w:val="28"/>
          <w:szCs w:val="28"/>
          <w:lang w:val="el-GR"/>
        </w:rPr>
        <w:t xml:space="preserve"> (1990) 17 EHRR 30, παρ. 50). Η δυνατότητα ελέγχου κάτω από το Άρθρο 5(4) έχει χαρακτηρισθεί από τους </w:t>
      </w:r>
      <w:r w:rsidRPr="006561F7">
        <w:rPr>
          <w:rFonts w:ascii="Arial" w:hAnsi="Arial" w:cs="Arial"/>
          <w:b/>
          <w:bCs/>
          <w:i/>
          <w:iCs/>
          <w:sz w:val="28"/>
          <w:szCs w:val="28"/>
          <w:lang w:val="el-GR"/>
        </w:rPr>
        <w:t xml:space="preserve">Harris, O’Boyle &amp; Warbrick: Law of </w:t>
      </w:r>
      <w:r w:rsidRPr="006561F7">
        <w:rPr>
          <w:rFonts w:ascii="Arial" w:hAnsi="Arial" w:cs="Arial"/>
          <w:b/>
          <w:bCs/>
          <w:i/>
          <w:iCs/>
          <w:sz w:val="28"/>
          <w:szCs w:val="28"/>
          <w:lang w:val="en-US"/>
        </w:rPr>
        <w:t>the</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European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Convention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of</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Human</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Rights</w:t>
      </w:r>
      <w:r w:rsidRPr="006561F7">
        <w:rPr>
          <w:rFonts w:ascii="Arial" w:hAnsi="Arial" w:cs="Arial"/>
          <w:sz w:val="28"/>
          <w:szCs w:val="28"/>
          <w:lang w:val="el-GR"/>
        </w:rPr>
        <w:t>, 2η έκδ., σελ. 182, ως το «</w:t>
      </w:r>
      <w:r w:rsidRPr="006561F7">
        <w:rPr>
          <w:rFonts w:ascii="Arial" w:hAnsi="Arial" w:cs="Arial"/>
          <w:sz w:val="28"/>
          <w:szCs w:val="28"/>
          <w:lang w:val="en-US"/>
        </w:rPr>
        <w:t>habeas</w:t>
      </w:r>
      <w:r w:rsidRPr="006561F7">
        <w:rPr>
          <w:rFonts w:ascii="Arial" w:hAnsi="Arial" w:cs="Arial"/>
          <w:sz w:val="28"/>
          <w:szCs w:val="28"/>
          <w:lang w:val="el-GR"/>
        </w:rPr>
        <w:t xml:space="preserve"> </w:t>
      </w:r>
      <w:r w:rsidRPr="006561F7">
        <w:rPr>
          <w:rFonts w:ascii="Arial" w:hAnsi="Arial" w:cs="Arial"/>
          <w:sz w:val="28"/>
          <w:szCs w:val="28"/>
          <w:lang w:val="en-US"/>
        </w:rPr>
        <w:t>corpus</w:t>
      </w:r>
      <w:r w:rsidRPr="006561F7">
        <w:rPr>
          <w:rFonts w:ascii="Arial" w:hAnsi="Arial" w:cs="Arial"/>
          <w:sz w:val="28"/>
          <w:szCs w:val="28"/>
          <w:lang w:val="el-GR"/>
        </w:rPr>
        <w:t xml:space="preserve">» της Σύμβασης. Το υλικό το οποίο κατά το κράτος δικαιολογεί την κράτηση πρέπει να παρέχεται στο Δικαστήριο </w:t>
      </w:r>
      <w:r w:rsidRPr="006561F7">
        <w:rPr>
          <w:rFonts w:ascii="Arial" w:hAnsi="Arial" w:cs="Arial"/>
          <w:sz w:val="28"/>
          <w:szCs w:val="28"/>
          <w:lang w:val="el-GR"/>
        </w:rPr>
        <w:lastRenderedPageBreak/>
        <w:t>ώστε να αξιολογείται και πρέπει να υπάρχει μια ορθή ισορροπία μεταξύ των διαφόρων δικαιωμάτων. Αν και αναγνωρίζεται ότι στο πλαίσιο της εξέτασης, η αποκάλυψη διαβαθμισμένου ή εμπιστευτικού υλικού πρέπει να γίνεται με προσοχή, αυτό δεν σημαίνει ότι οι αρμόδιες αρχές θα πρέπει να παραμένουν χωρίς αποτελεσματικό έλεγχο από τα εθνικά Δικαστήρια, (</w:t>
      </w:r>
      <w:r w:rsidRPr="006561F7">
        <w:rPr>
          <w:rFonts w:ascii="Arial" w:hAnsi="Arial" w:cs="Arial"/>
          <w:b/>
          <w:bCs/>
          <w:i/>
          <w:iCs/>
          <w:sz w:val="28"/>
          <w:szCs w:val="28"/>
          <w:lang w:val="el-GR"/>
        </w:rPr>
        <w:t>Chahal v. U.K.</w:t>
      </w:r>
      <w:r w:rsidRPr="006561F7">
        <w:rPr>
          <w:rFonts w:ascii="Arial" w:hAnsi="Arial" w:cs="Arial"/>
          <w:sz w:val="28"/>
          <w:szCs w:val="28"/>
          <w:lang w:val="el-GR"/>
        </w:rPr>
        <w:t xml:space="preserve"> (1996) 23 EHRR 413).»</w:t>
      </w:r>
    </w:p>
    <w:p w14:paraId="5F06BC51" w14:textId="77777777" w:rsidR="005D0B65" w:rsidRPr="006561F7" w:rsidRDefault="005D0B65" w:rsidP="006561F7">
      <w:pPr>
        <w:spacing w:after="0" w:line="240" w:lineRule="auto"/>
        <w:ind w:left="567"/>
        <w:jc w:val="both"/>
        <w:rPr>
          <w:rFonts w:ascii="Arial" w:hAnsi="Arial" w:cs="Arial"/>
          <w:sz w:val="28"/>
          <w:szCs w:val="28"/>
          <w:lang w:val="el-GR"/>
        </w:rPr>
      </w:pPr>
    </w:p>
    <w:p w14:paraId="416350F5" w14:textId="77777777" w:rsidR="00A72E5E" w:rsidRPr="006F0B2C" w:rsidRDefault="00A72E5E" w:rsidP="00A72E5E">
      <w:pPr>
        <w:spacing w:after="0" w:line="276" w:lineRule="auto"/>
        <w:ind w:left="567" w:right="702"/>
        <w:jc w:val="both"/>
        <w:rPr>
          <w:rFonts w:ascii="Arial" w:hAnsi="Arial" w:cs="Arial"/>
          <w:lang w:val="el-GR"/>
        </w:rPr>
      </w:pPr>
    </w:p>
    <w:p w14:paraId="1A259289" w14:textId="77777777" w:rsidR="00A72E5E" w:rsidRPr="006F0B2C" w:rsidRDefault="00A72E5E" w:rsidP="00A72E5E">
      <w:pPr>
        <w:spacing w:after="0" w:line="276" w:lineRule="auto"/>
        <w:ind w:left="567" w:right="702"/>
        <w:jc w:val="both"/>
        <w:rPr>
          <w:rFonts w:ascii="Arial" w:hAnsi="Arial" w:cs="Arial"/>
          <w:lang w:val="el-GR"/>
        </w:rPr>
      </w:pPr>
    </w:p>
    <w:p w14:paraId="17BE4D5B" w14:textId="2940F209" w:rsidR="00A72E5E" w:rsidRPr="006F0B2C" w:rsidRDefault="00A72E5E" w:rsidP="00A72E5E">
      <w:pPr>
        <w:spacing w:after="0" w:line="276" w:lineRule="auto"/>
        <w:ind w:right="702"/>
        <w:jc w:val="both"/>
        <w:rPr>
          <w:rFonts w:ascii="Arial" w:hAnsi="Arial" w:cs="Arial"/>
          <w:sz w:val="28"/>
          <w:szCs w:val="28"/>
          <w:lang w:val="el-GR"/>
        </w:rPr>
      </w:pPr>
      <w:r>
        <w:rPr>
          <w:rFonts w:ascii="Arial" w:hAnsi="Arial" w:cs="Arial"/>
          <w:sz w:val="28"/>
          <w:szCs w:val="28"/>
          <w:lang w:val="el-GR"/>
        </w:rPr>
        <w:t xml:space="preserve">Αναφέρθηκε ακόμα </w:t>
      </w:r>
      <w:r w:rsidR="004D0BAD">
        <w:rPr>
          <w:rFonts w:ascii="Arial" w:hAnsi="Arial" w:cs="Arial"/>
          <w:sz w:val="28"/>
          <w:szCs w:val="28"/>
          <w:lang w:val="el-GR"/>
        </w:rPr>
        <w:t>ότι</w:t>
      </w:r>
      <w:r>
        <w:rPr>
          <w:rFonts w:ascii="Arial" w:hAnsi="Arial" w:cs="Arial"/>
          <w:sz w:val="28"/>
          <w:szCs w:val="28"/>
          <w:lang w:val="el-GR"/>
        </w:rPr>
        <w:t>:</w:t>
      </w:r>
    </w:p>
    <w:p w14:paraId="7AAA4916" w14:textId="77777777" w:rsidR="00A72E5E" w:rsidRPr="006F0B2C" w:rsidRDefault="00A72E5E" w:rsidP="00A72E5E">
      <w:pPr>
        <w:spacing w:after="0" w:line="276" w:lineRule="auto"/>
        <w:ind w:right="702"/>
        <w:jc w:val="both"/>
        <w:rPr>
          <w:rFonts w:ascii="Arial" w:hAnsi="Arial" w:cs="Arial"/>
          <w:lang w:val="el-GR"/>
        </w:rPr>
      </w:pPr>
    </w:p>
    <w:p w14:paraId="6D6E6058" w14:textId="77777777" w:rsidR="005D0B65" w:rsidRDefault="005D0B65" w:rsidP="006561F7">
      <w:pPr>
        <w:spacing w:after="0" w:line="240" w:lineRule="auto"/>
        <w:ind w:left="567"/>
        <w:jc w:val="both"/>
        <w:rPr>
          <w:rFonts w:ascii="Arial" w:hAnsi="Arial" w:cs="Arial"/>
          <w:sz w:val="28"/>
          <w:szCs w:val="28"/>
          <w:lang w:val="el-GR"/>
        </w:rPr>
      </w:pPr>
    </w:p>
    <w:p w14:paraId="5AD491D8" w14:textId="7D20C68F" w:rsidR="00A72E5E" w:rsidRPr="006561F7"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 σε υποθέσεις αφορούσες σε θέματα εθνικής ασφάλειας, το Δικαστήριο δεν μπορεί να υπεισέλθει στους λόγους που η διοίκηση αποφάσισε ότι τίθεται ζήτημα κρατικής ασφάλειας από την άποψη ότι αυτά είναι ζητήματα για τα οποία το κράτος έχει ευρεία διακριτική ευχέρεια. Το Δικαστήριο μπορεί βεβαίως να ελέγξει τις πληροφορίες και την όλη διαδικασία ως προς το νόμιμο αυτής, αλλά δεν υπεισέρχεται στην ουσιαστική εκτίμηση των πληροφοριών, (</w:t>
      </w:r>
      <w:r w:rsidRPr="006561F7">
        <w:rPr>
          <w:rFonts w:ascii="Arial" w:hAnsi="Arial" w:cs="Arial"/>
          <w:b/>
          <w:bCs/>
          <w:i/>
          <w:iCs/>
          <w:sz w:val="28"/>
          <w:szCs w:val="28"/>
          <w:lang w:val="el-GR"/>
        </w:rPr>
        <w:t>Bekefi v. Δημοκρατίας</w:t>
      </w:r>
      <w:r w:rsidRPr="006561F7">
        <w:rPr>
          <w:rFonts w:ascii="Arial" w:hAnsi="Arial" w:cs="Arial"/>
          <w:sz w:val="28"/>
          <w:szCs w:val="28"/>
          <w:lang w:val="el-GR"/>
        </w:rPr>
        <w:t xml:space="preserve">, Αναθεωρητική Έφεση αρ. 42/2013, ημερ. 30.6.2016 και </w:t>
      </w:r>
      <w:r w:rsidRPr="006561F7">
        <w:rPr>
          <w:rFonts w:ascii="Arial" w:hAnsi="Arial" w:cs="Arial"/>
          <w:b/>
          <w:bCs/>
          <w:i/>
          <w:iCs/>
          <w:sz w:val="28"/>
          <w:szCs w:val="28"/>
          <w:lang w:val="el-GR"/>
        </w:rPr>
        <w:t>Stoyanov v. Δημοκρατίας</w:t>
      </w:r>
      <w:r w:rsidRPr="006561F7">
        <w:rPr>
          <w:rFonts w:ascii="Arial" w:hAnsi="Arial" w:cs="Arial"/>
          <w:sz w:val="28"/>
          <w:szCs w:val="28"/>
          <w:lang w:val="el-GR"/>
        </w:rPr>
        <w:t>, υπόθ. υπ΄ αρ. 718/12, ημερ. 26.2.2014).»</w:t>
      </w:r>
    </w:p>
    <w:p w14:paraId="383E171F" w14:textId="77777777" w:rsidR="004D0BAD" w:rsidRDefault="004D0BAD" w:rsidP="004D0BAD">
      <w:pPr>
        <w:spacing w:after="0" w:line="276" w:lineRule="auto"/>
        <w:ind w:left="567" w:right="702"/>
        <w:jc w:val="both"/>
        <w:rPr>
          <w:rFonts w:ascii="Arial" w:hAnsi="Arial" w:cs="Arial"/>
          <w:lang w:val="el-GR"/>
        </w:rPr>
      </w:pPr>
    </w:p>
    <w:p w14:paraId="7942A47E" w14:textId="77777777" w:rsidR="004D0BAD" w:rsidRDefault="004D0BAD" w:rsidP="004D0BAD">
      <w:pPr>
        <w:spacing w:after="0" w:line="276" w:lineRule="auto"/>
        <w:ind w:left="567" w:right="702"/>
        <w:jc w:val="both"/>
        <w:rPr>
          <w:rFonts w:ascii="Arial" w:hAnsi="Arial" w:cs="Arial"/>
          <w:sz w:val="28"/>
          <w:szCs w:val="28"/>
          <w:lang w:val="el-GR"/>
        </w:rPr>
      </w:pPr>
    </w:p>
    <w:p w14:paraId="1EF9E2AF" w14:textId="6E29B49E" w:rsidR="00A72E5E" w:rsidRDefault="004D0BAD" w:rsidP="004D0BAD">
      <w:pPr>
        <w:spacing w:before="240" w:after="0" w:line="480" w:lineRule="auto"/>
        <w:jc w:val="both"/>
        <w:rPr>
          <w:rFonts w:ascii="Arial" w:hAnsi="Arial" w:cs="Arial"/>
          <w:sz w:val="28"/>
          <w:szCs w:val="28"/>
          <w:lang w:val="el-GR"/>
        </w:rPr>
      </w:pPr>
      <w:r w:rsidRPr="004D0BAD">
        <w:rPr>
          <w:rFonts w:ascii="Arial" w:hAnsi="Arial" w:cs="Arial"/>
          <w:sz w:val="28"/>
          <w:szCs w:val="28"/>
          <w:lang w:val="el-GR"/>
        </w:rPr>
        <w:t xml:space="preserve">    </w:t>
      </w:r>
      <w:r w:rsidR="00A72E5E">
        <w:rPr>
          <w:rFonts w:ascii="Arial" w:hAnsi="Arial" w:cs="Arial"/>
          <w:sz w:val="28"/>
          <w:szCs w:val="28"/>
          <w:lang w:val="el-GR"/>
        </w:rPr>
        <w:t xml:space="preserve">Στη </w:t>
      </w:r>
      <w:r w:rsidR="00A72E5E" w:rsidRPr="002B6304">
        <w:rPr>
          <w:rFonts w:ascii="Arial" w:hAnsi="Arial" w:cs="Arial"/>
          <w:b/>
          <w:bCs/>
          <w:i/>
          <w:iCs/>
          <w:sz w:val="28"/>
          <w:szCs w:val="28"/>
          <w:lang w:val="el-GR"/>
        </w:rPr>
        <w:t xml:space="preserve">Stoyanov v. Δημοκρατίας, </w:t>
      </w:r>
      <w:r w:rsidR="00A72E5E" w:rsidRPr="00F10C76">
        <w:rPr>
          <w:rFonts w:ascii="Arial" w:hAnsi="Arial" w:cs="Arial"/>
          <w:b/>
          <w:bCs/>
          <w:i/>
          <w:iCs/>
          <w:sz w:val="28"/>
          <w:szCs w:val="28"/>
          <w:lang w:val="el-GR"/>
        </w:rPr>
        <w:t>Υπόθ. Αρ.718/12, ημερ. 26.2.2014</w:t>
      </w:r>
      <w:r w:rsidR="00A72E5E" w:rsidRPr="00F10C76">
        <w:rPr>
          <w:rFonts w:ascii="Arial" w:hAnsi="Arial" w:cs="Arial"/>
          <w:sz w:val="28"/>
          <w:szCs w:val="28"/>
          <w:lang w:val="el-GR"/>
        </w:rPr>
        <w:t xml:space="preserve">, </w:t>
      </w:r>
      <w:r w:rsidR="00A72E5E">
        <w:rPr>
          <w:rFonts w:ascii="Arial" w:hAnsi="Arial" w:cs="Arial"/>
          <w:sz w:val="28"/>
          <w:szCs w:val="28"/>
          <w:lang w:val="el-GR"/>
        </w:rPr>
        <w:t>όπου εξετάστηκε η ευχέρεια των αρχών να επιβάλουν περιορισμούς στο δικαίωμα ελεύθερης κυκλοφορίας και διαμονής των πολιτών της Ευρωπαϊκής Ένωσης για λόγους δημόσιας τάξης, δημόσιας ασφάλειας ή δημόσιας υγείας</w:t>
      </w:r>
      <w:r>
        <w:rPr>
          <w:rStyle w:val="FootnoteReference"/>
          <w:rFonts w:ascii="Arial" w:hAnsi="Arial" w:cs="Arial"/>
          <w:sz w:val="28"/>
          <w:szCs w:val="28"/>
          <w:lang w:val="el-GR"/>
        </w:rPr>
        <w:footnoteReference w:id="1"/>
      </w:r>
      <w:r w:rsidR="00A72E5E" w:rsidRPr="00C17B73">
        <w:rPr>
          <w:rFonts w:ascii="Arial" w:hAnsi="Arial" w:cs="Arial"/>
          <w:sz w:val="28"/>
          <w:szCs w:val="28"/>
          <w:lang w:val="el-GR"/>
        </w:rPr>
        <w:t xml:space="preserve"> </w:t>
      </w:r>
      <w:r w:rsidR="00A72E5E">
        <w:rPr>
          <w:rFonts w:ascii="Arial" w:hAnsi="Arial" w:cs="Arial"/>
          <w:sz w:val="28"/>
          <w:szCs w:val="28"/>
          <w:lang w:val="el-GR"/>
        </w:rPr>
        <w:t>αναφέρθηκε ότι:</w:t>
      </w:r>
    </w:p>
    <w:p w14:paraId="7D48AF4F" w14:textId="77777777" w:rsidR="004D0BAD" w:rsidRDefault="004D0BAD" w:rsidP="00A72E5E">
      <w:pPr>
        <w:spacing w:after="0" w:line="276" w:lineRule="auto"/>
        <w:ind w:left="567" w:right="702"/>
        <w:jc w:val="both"/>
        <w:rPr>
          <w:rFonts w:ascii="Arial" w:hAnsi="Arial" w:cs="Arial"/>
          <w:lang w:val="el-GR"/>
        </w:rPr>
      </w:pPr>
    </w:p>
    <w:p w14:paraId="39584F7F" w14:textId="77777777" w:rsidR="009213AD" w:rsidRDefault="009213AD" w:rsidP="006561F7">
      <w:pPr>
        <w:spacing w:after="0" w:line="240" w:lineRule="auto"/>
        <w:ind w:left="567"/>
        <w:jc w:val="both"/>
        <w:rPr>
          <w:rFonts w:ascii="Arial" w:hAnsi="Arial" w:cs="Arial"/>
          <w:sz w:val="28"/>
          <w:szCs w:val="28"/>
          <w:lang w:val="el-GR"/>
        </w:rPr>
      </w:pPr>
    </w:p>
    <w:p w14:paraId="737A22C5" w14:textId="3617B5C1" w:rsidR="00A72E5E" w:rsidRPr="006561F7"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lastRenderedPageBreak/>
        <w:t xml:space="preserve">« … κάθε τέτοιο μέτρο που λαμβάνεται πρέπει να θεμελιώνεται αποκλειστικά στην προσωπική συμπεριφορά του ατόμου η οποία </w:t>
      </w:r>
      <w:r w:rsidR="009213AD" w:rsidRPr="009213AD">
        <w:rPr>
          <w:rFonts w:ascii="Arial" w:hAnsi="Arial" w:cs="Arial"/>
          <w:sz w:val="28"/>
          <w:szCs w:val="28"/>
          <w:lang w:val="el-GR"/>
        </w:rPr>
        <w:t>“</w:t>
      </w:r>
      <w:r w:rsidRPr="006561F7">
        <w:rPr>
          <w:rFonts w:ascii="Arial" w:hAnsi="Arial" w:cs="Arial"/>
          <w:sz w:val="28"/>
          <w:szCs w:val="28"/>
          <w:lang w:val="el-GR"/>
        </w:rPr>
        <w:t xml:space="preserve"> … πρέπει να συνιστά πραγματική, ενεστώσα και επαρκώς σοβαρή απειλή, στρεφόμενη κατά θεμελιώδους συμφέροντος της κοινωνίας.</w:t>
      </w:r>
      <w:r w:rsidR="009213AD" w:rsidRPr="009213AD">
        <w:rPr>
          <w:rFonts w:ascii="Arial" w:hAnsi="Arial" w:cs="Arial"/>
          <w:sz w:val="28"/>
          <w:szCs w:val="28"/>
          <w:lang w:val="el-GR"/>
        </w:rPr>
        <w:t>”</w:t>
      </w:r>
      <w:r w:rsidRPr="006561F7">
        <w:rPr>
          <w:rFonts w:ascii="Arial" w:hAnsi="Arial" w:cs="Arial"/>
          <w:sz w:val="28"/>
          <w:szCs w:val="28"/>
          <w:lang w:val="el-GR"/>
        </w:rPr>
        <w:t>. Δεν επιτρέπεται κατά την επιφύλαξη του άρθρου 29(3)(α), η επίκληση λόγων γενικής πρόληψης ή λόγων που δεν συνδέονται με τα στοιχεία της εκάστοτε ατομικής περίπτωσης… .</w:t>
      </w:r>
    </w:p>
    <w:p w14:paraId="2F94DF8C" w14:textId="77777777" w:rsidR="00A72E5E" w:rsidRPr="006561F7" w:rsidRDefault="00A72E5E" w:rsidP="006561F7">
      <w:pPr>
        <w:spacing w:after="0" w:line="240" w:lineRule="auto"/>
        <w:ind w:left="567"/>
        <w:jc w:val="both"/>
        <w:rPr>
          <w:rFonts w:ascii="Arial" w:hAnsi="Arial" w:cs="Arial"/>
          <w:sz w:val="28"/>
          <w:szCs w:val="28"/>
          <w:lang w:val="el-GR"/>
        </w:rPr>
      </w:pPr>
    </w:p>
    <w:p w14:paraId="7D50BA9F" w14:textId="501957B9" w:rsidR="00A72E5E" w:rsidRPr="006561F7"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Στα πλαίσια της κυριαρχίας του κράτους και στη βάση της εξέτασης κατά πόσο συμπεριφορά συνιστά πραγματική, ενεστώσα και επαρκώς σοβαρή απειλή, υποδείχθηκε στην απόφαση </w:t>
      </w:r>
      <w:r w:rsidRPr="006561F7">
        <w:rPr>
          <w:rFonts w:ascii="Arial" w:hAnsi="Arial" w:cs="Arial"/>
          <w:b/>
          <w:bCs/>
          <w:i/>
          <w:iCs/>
          <w:sz w:val="28"/>
          <w:szCs w:val="28"/>
          <w:lang w:val="el-GR"/>
        </w:rPr>
        <w:t>Svetlin Lilyanchov Dichev v. Δημοκρατίας</w:t>
      </w:r>
      <w:r w:rsidRPr="006561F7">
        <w:rPr>
          <w:rFonts w:ascii="Arial" w:hAnsi="Arial" w:cs="Arial"/>
          <w:sz w:val="28"/>
          <w:szCs w:val="28"/>
          <w:lang w:val="el-GR"/>
        </w:rPr>
        <w:t xml:space="preserve">, υπόθ. αρ. 309/2012, ημερ. 15.11.2013, ότι η συμπεριφορά αυτή μπορεί να διαπιστωθεί και χωρίς καταδικαστική απόφαση από Δικαστήριο. Αρκεί να υπάρχουν πληροφορίες και αξιόπιστες πηγές οι οποίες να προκαλούν ανησυχίες αναφορικά με την παρουσία του αλλοδαπού στη Δημοκρατία. Συναφώς στην </w:t>
      </w:r>
      <w:r w:rsidRPr="006561F7">
        <w:rPr>
          <w:rFonts w:ascii="Arial" w:hAnsi="Arial" w:cs="Arial"/>
          <w:b/>
          <w:bCs/>
          <w:i/>
          <w:iCs/>
          <w:sz w:val="28"/>
          <w:szCs w:val="28"/>
          <w:lang w:val="el-GR"/>
        </w:rPr>
        <w:t>Eddine v. Δημοκρατία</w:t>
      </w:r>
      <w:r w:rsidRPr="006561F7">
        <w:rPr>
          <w:rFonts w:ascii="Arial" w:hAnsi="Arial" w:cs="Arial"/>
          <w:sz w:val="28"/>
          <w:szCs w:val="28"/>
          <w:lang w:val="el-GR"/>
        </w:rPr>
        <w:t xml:space="preserve"> (2008) 3 Α.Α.Δ. 95, αποφασίστηκε ότι </w:t>
      </w:r>
      <w:r w:rsidR="009213AD" w:rsidRPr="009213AD">
        <w:rPr>
          <w:rFonts w:ascii="Arial" w:hAnsi="Arial" w:cs="Arial"/>
          <w:sz w:val="28"/>
          <w:szCs w:val="28"/>
          <w:lang w:val="el-GR"/>
        </w:rPr>
        <w:t>“</w:t>
      </w:r>
      <w:r w:rsidRPr="006561F7">
        <w:rPr>
          <w:rFonts w:ascii="Arial" w:hAnsi="Arial" w:cs="Arial"/>
          <w:sz w:val="28"/>
          <w:szCs w:val="28"/>
          <w:lang w:val="el-GR"/>
        </w:rPr>
        <w:t>το κράτος δεν έχει την υποχρέωση να υποστηρίξει την απορριπτική του θέση με στοιχεία που θα δικαιολογούσαν με θετικό τρόπο τη μη συνέχιση της παραμονής του στην Κύπρο.</w:t>
      </w:r>
      <w:r w:rsidR="009213AD" w:rsidRPr="009213AD">
        <w:rPr>
          <w:rFonts w:ascii="Arial" w:hAnsi="Arial" w:cs="Arial"/>
          <w:sz w:val="28"/>
          <w:szCs w:val="28"/>
          <w:lang w:val="el-GR"/>
        </w:rPr>
        <w:t>”</w:t>
      </w:r>
      <w:r w:rsidRPr="006561F7">
        <w:rPr>
          <w:rFonts w:ascii="Arial" w:hAnsi="Arial" w:cs="Arial"/>
          <w:sz w:val="28"/>
          <w:szCs w:val="28"/>
          <w:lang w:val="el-GR"/>
        </w:rPr>
        <w:t>. Αρκεί να παρέχεται επαρκώς πραγματικό έρεισμα για την αρνητική απόφαση εφόσον υπάρχουν και συγκεντρώνονται από κατάλληλες βέβαια πηγές πληροφορίες που προκαλούν ανησυχία. Ακόμη και γενικές ενδείξεις μπορούν δικαιολογημένα να αιτιολογήσουν αρνητική απόφαση, η όποια δε αμφιβολία επενεργεί υπέρ της Δημοκρατίας, στα πλαίσια του προεξάρχοντος κυριαρχικού της δικαιώματος να ελέγχει ποιοι διακινούνται και διαμένουν στο έδαφος της, (</w:t>
      </w:r>
      <w:r w:rsidRPr="006561F7">
        <w:rPr>
          <w:rFonts w:ascii="Arial" w:hAnsi="Arial" w:cs="Arial"/>
          <w:b/>
          <w:bCs/>
          <w:i/>
          <w:iCs/>
          <w:sz w:val="28"/>
          <w:szCs w:val="28"/>
          <w:lang w:val="el-GR"/>
        </w:rPr>
        <w:t>Moyo v. Republic</w:t>
      </w:r>
      <w:r w:rsidRPr="006561F7">
        <w:rPr>
          <w:rFonts w:ascii="Arial" w:hAnsi="Arial" w:cs="Arial"/>
          <w:sz w:val="28"/>
          <w:szCs w:val="28"/>
          <w:lang w:val="el-GR"/>
        </w:rPr>
        <w:t xml:space="preserve"> (1988) 3 </w:t>
      </w:r>
      <w:r w:rsidRPr="006561F7">
        <w:rPr>
          <w:rFonts w:ascii="Arial" w:hAnsi="Arial" w:cs="Arial"/>
          <w:sz w:val="28"/>
          <w:szCs w:val="28"/>
          <w:lang w:val="en-US"/>
        </w:rPr>
        <w:t>C</w:t>
      </w:r>
      <w:r w:rsidRPr="006561F7">
        <w:rPr>
          <w:rFonts w:ascii="Arial" w:hAnsi="Arial" w:cs="Arial"/>
          <w:sz w:val="28"/>
          <w:szCs w:val="28"/>
          <w:lang w:val="el-GR"/>
        </w:rPr>
        <w:t>.</w:t>
      </w:r>
      <w:r w:rsidRPr="006561F7">
        <w:rPr>
          <w:rFonts w:ascii="Arial" w:hAnsi="Arial" w:cs="Arial"/>
          <w:sz w:val="28"/>
          <w:szCs w:val="28"/>
          <w:lang w:val="en-US"/>
        </w:rPr>
        <w:t>L</w:t>
      </w:r>
      <w:r w:rsidRPr="006561F7">
        <w:rPr>
          <w:rFonts w:ascii="Arial" w:hAnsi="Arial" w:cs="Arial"/>
          <w:sz w:val="28"/>
          <w:szCs w:val="28"/>
          <w:lang w:val="el-GR"/>
        </w:rPr>
        <w:t>.</w:t>
      </w:r>
      <w:r w:rsidRPr="006561F7">
        <w:rPr>
          <w:rFonts w:ascii="Arial" w:hAnsi="Arial" w:cs="Arial"/>
          <w:sz w:val="28"/>
          <w:szCs w:val="28"/>
          <w:lang w:val="en-US"/>
        </w:rPr>
        <w:t>R</w:t>
      </w:r>
      <w:r w:rsidRPr="006561F7">
        <w:rPr>
          <w:rFonts w:ascii="Arial" w:hAnsi="Arial" w:cs="Arial"/>
          <w:sz w:val="28"/>
          <w:szCs w:val="28"/>
          <w:lang w:val="el-GR"/>
        </w:rPr>
        <w:t xml:space="preserve">. 1203 και </w:t>
      </w:r>
      <w:r w:rsidRPr="006561F7">
        <w:rPr>
          <w:rFonts w:ascii="Arial" w:hAnsi="Arial" w:cs="Arial"/>
          <w:b/>
          <w:bCs/>
          <w:i/>
          <w:iCs/>
          <w:sz w:val="28"/>
          <w:szCs w:val="28"/>
          <w:lang w:val="en-US"/>
        </w:rPr>
        <w:t>Ananda</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Marga</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Ltd</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v</w:t>
      </w:r>
      <w:r w:rsidRPr="006561F7">
        <w:rPr>
          <w:rFonts w:ascii="Arial" w:hAnsi="Arial" w:cs="Arial"/>
          <w:b/>
          <w:bCs/>
          <w:i/>
          <w:iCs/>
          <w:sz w:val="28"/>
          <w:szCs w:val="28"/>
          <w:lang w:val="el-GR"/>
        </w:rPr>
        <w:t xml:space="preserve">. </w:t>
      </w:r>
      <w:r w:rsidRPr="006561F7">
        <w:rPr>
          <w:rFonts w:ascii="Arial" w:hAnsi="Arial" w:cs="Arial"/>
          <w:b/>
          <w:bCs/>
          <w:i/>
          <w:iCs/>
          <w:sz w:val="28"/>
          <w:szCs w:val="28"/>
          <w:lang w:val="en-US"/>
        </w:rPr>
        <w:t>Republic</w:t>
      </w:r>
      <w:r w:rsidRPr="006561F7">
        <w:rPr>
          <w:rFonts w:ascii="Arial" w:hAnsi="Arial" w:cs="Arial"/>
          <w:sz w:val="28"/>
          <w:szCs w:val="28"/>
          <w:lang w:val="el-GR"/>
        </w:rPr>
        <w:t xml:space="preserve"> (1985) 3 </w:t>
      </w:r>
      <w:r w:rsidRPr="006561F7">
        <w:rPr>
          <w:rFonts w:ascii="Arial" w:hAnsi="Arial" w:cs="Arial"/>
          <w:sz w:val="28"/>
          <w:szCs w:val="28"/>
          <w:lang w:val="en-US"/>
        </w:rPr>
        <w:t>C</w:t>
      </w:r>
      <w:r w:rsidRPr="006561F7">
        <w:rPr>
          <w:rFonts w:ascii="Arial" w:hAnsi="Arial" w:cs="Arial"/>
          <w:sz w:val="28"/>
          <w:szCs w:val="28"/>
          <w:lang w:val="el-GR"/>
        </w:rPr>
        <w:t>.</w:t>
      </w:r>
      <w:r w:rsidRPr="006561F7">
        <w:rPr>
          <w:rFonts w:ascii="Arial" w:hAnsi="Arial" w:cs="Arial"/>
          <w:sz w:val="28"/>
          <w:szCs w:val="28"/>
          <w:lang w:val="en-US"/>
        </w:rPr>
        <w:t>L</w:t>
      </w:r>
      <w:r w:rsidRPr="006561F7">
        <w:rPr>
          <w:rFonts w:ascii="Arial" w:hAnsi="Arial" w:cs="Arial"/>
          <w:sz w:val="28"/>
          <w:szCs w:val="28"/>
          <w:lang w:val="el-GR"/>
        </w:rPr>
        <w:t>.</w:t>
      </w:r>
      <w:r w:rsidRPr="006561F7">
        <w:rPr>
          <w:rFonts w:ascii="Arial" w:hAnsi="Arial" w:cs="Arial"/>
          <w:sz w:val="28"/>
          <w:szCs w:val="28"/>
          <w:lang w:val="en-US"/>
        </w:rPr>
        <w:t>R</w:t>
      </w:r>
      <w:r w:rsidRPr="006561F7">
        <w:rPr>
          <w:rFonts w:ascii="Arial" w:hAnsi="Arial" w:cs="Arial"/>
          <w:sz w:val="28"/>
          <w:szCs w:val="28"/>
          <w:lang w:val="el-GR"/>
        </w:rPr>
        <w:t>. 2583).</w:t>
      </w:r>
    </w:p>
    <w:p w14:paraId="1D1471E1" w14:textId="77777777" w:rsidR="00A72E5E" w:rsidRPr="006561F7" w:rsidRDefault="00A72E5E" w:rsidP="006561F7">
      <w:pPr>
        <w:spacing w:after="0" w:line="240" w:lineRule="auto"/>
        <w:ind w:left="567"/>
        <w:jc w:val="both"/>
        <w:rPr>
          <w:rFonts w:ascii="Arial" w:hAnsi="Arial" w:cs="Arial"/>
          <w:sz w:val="28"/>
          <w:szCs w:val="28"/>
          <w:lang w:val="el-GR"/>
        </w:rPr>
      </w:pPr>
    </w:p>
    <w:p w14:paraId="19E0526E" w14:textId="247FE56A" w:rsidR="00A72E5E" w:rsidRDefault="00A72E5E" w:rsidP="00986B13">
      <w:pPr>
        <w:spacing w:after="0" w:line="240" w:lineRule="auto"/>
        <w:ind w:left="567"/>
        <w:jc w:val="both"/>
        <w:rPr>
          <w:rFonts w:ascii="Arial" w:hAnsi="Arial" w:cs="Arial"/>
          <w:lang w:val="el-GR"/>
        </w:rPr>
      </w:pPr>
      <w:r w:rsidRPr="006561F7">
        <w:rPr>
          <w:rFonts w:ascii="Arial" w:hAnsi="Arial" w:cs="Arial"/>
          <w:sz w:val="28"/>
          <w:szCs w:val="28"/>
          <w:lang w:val="el-GR"/>
        </w:rPr>
        <w:t>… Η ενεργός διοίκηση είναι κατ΄ εξοχήν το όργανο στο οποίο εναποτίθεται η ευθύνη για εκτίμηση των γεγονότων και δεν θα ήταν δυνατό να αναθεωρείται από το Ανώτατο Δικαστήριο η εκτίμηση αυτή στη βάση των γενικών αρχών του διοικητικού δικαίου, ιδιαιτέρως όταν υπεισέρχονται στην εικόνα εμπιστευτικές πληροφορίες από πρόσωπα τα οποία τις δίδουν στην αστυνομία. Το Δικαστήριο δεν μπορεί να ασκήσει ιδίαν κρίση περί της επικινδυνότητας του αιτητή. Ελέγχει μόνο τη νομιμότητα της όλης διαδικασίας».</w:t>
      </w:r>
    </w:p>
    <w:p w14:paraId="65AC8BBC" w14:textId="3B19A603" w:rsidR="00A72E5E" w:rsidRDefault="004D0BAD" w:rsidP="00A72E5E">
      <w:pPr>
        <w:spacing w:after="0" w:line="276" w:lineRule="auto"/>
        <w:ind w:right="702"/>
        <w:jc w:val="both"/>
        <w:rPr>
          <w:rFonts w:ascii="Arial" w:hAnsi="Arial" w:cs="Arial"/>
          <w:sz w:val="28"/>
          <w:szCs w:val="28"/>
          <w:lang w:val="el-GR"/>
        </w:rPr>
      </w:pPr>
      <w:r>
        <w:rPr>
          <w:rFonts w:ascii="Arial" w:hAnsi="Arial" w:cs="Arial"/>
          <w:sz w:val="28"/>
          <w:szCs w:val="28"/>
          <w:lang w:val="el-GR"/>
        </w:rPr>
        <w:lastRenderedPageBreak/>
        <w:t xml:space="preserve">    </w:t>
      </w:r>
      <w:r w:rsidR="00A72E5E" w:rsidRPr="00EA0471">
        <w:rPr>
          <w:rFonts w:ascii="Arial" w:hAnsi="Arial" w:cs="Arial"/>
          <w:sz w:val="28"/>
          <w:szCs w:val="28"/>
          <w:lang w:val="el-GR"/>
        </w:rPr>
        <w:t xml:space="preserve">Αναφέρθηκε ακόμα </w:t>
      </w:r>
      <w:r>
        <w:rPr>
          <w:rFonts w:ascii="Arial" w:hAnsi="Arial" w:cs="Arial"/>
          <w:sz w:val="28"/>
          <w:szCs w:val="28"/>
          <w:lang w:val="el-GR"/>
        </w:rPr>
        <w:t>ότι</w:t>
      </w:r>
      <w:r w:rsidR="00A72E5E" w:rsidRPr="00EA0471">
        <w:rPr>
          <w:rFonts w:ascii="Arial" w:hAnsi="Arial" w:cs="Arial"/>
          <w:sz w:val="28"/>
          <w:szCs w:val="28"/>
          <w:lang w:val="el-GR"/>
        </w:rPr>
        <w:t>:</w:t>
      </w:r>
    </w:p>
    <w:p w14:paraId="2779AAC0" w14:textId="77777777" w:rsidR="00A72E5E" w:rsidRPr="00EA0471" w:rsidRDefault="00A72E5E" w:rsidP="00A72E5E">
      <w:pPr>
        <w:spacing w:after="0" w:line="276" w:lineRule="auto"/>
        <w:ind w:right="702"/>
        <w:jc w:val="both"/>
        <w:rPr>
          <w:rFonts w:ascii="Arial" w:hAnsi="Arial" w:cs="Arial"/>
          <w:sz w:val="28"/>
          <w:szCs w:val="28"/>
          <w:lang w:val="el-GR"/>
        </w:rPr>
      </w:pPr>
    </w:p>
    <w:p w14:paraId="7E78F07A" w14:textId="77777777" w:rsidR="001B1DE7" w:rsidRDefault="001B1DE7" w:rsidP="006561F7">
      <w:pPr>
        <w:spacing w:after="0" w:line="240" w:lineRule="auto"/>
        <w:ind w:left="567"/>
        <w:jc w:val="both"/>
        <w:rPr>
          <w:rFonts w:ascii="Arial" w:hAnsi="Arial" w:cs="Arial"/>
          <w:sz w:val="28"/>
          <w:szCs w:val="28"/>
          <w:lang w:val="el-GR"/>
        </w:rPr>
      </w:pPr>
    </w:p>
    <w:p w14:paraId="01986078" w14:textId="76302BDB" w:rsidR="00A72E5E" w:rsidRPr="006561F7" w:rsidRDefault="00A72E5E" w:rsidP="006561F7">
      <w:pPr>
        <w:spacing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«Στην </w:t>
      </w:r>
      <w:r w:rsidRPr="006561F7">
        <w:rPr>
          <w:rFonts w:ascii="Arial" w:hAnsi="Arial" w:cs="Arial"/>
          <w:b/>
          <w:bCs/>
          <w:i/>
          <w:iCs/>
          <w:sz w:val="28"/>
          <w:szCs w:val="28"/>
          <w:lang w:val="el-GR"/>
        </w:rPr>
        <w:t>Eddine v. Δημοκρατίας</w:t>
      </w:r>
      <w:r w:rsidRPr="006561F7">
        <w:rPr>
          <w:rFonts w:ascii="Arial" w:hAnsi="Arial" w:cs="Arial"/>
          <w:sz w:val="28"/>
          <w:szCs w:val="28"/>
          <w:lang w:val="el-GR"/>
        </w:rPr>
        <w:t xml:space="preserve"> – πιο πάνω –, η Ολομέλεια θεώρησε ακόμη και γενικές ενδείξεις περί ενδεχόμενου προβλήματος στη βάση πληροφοριών που ευλόγως προκαλούν ανησυχία, ως επαρκείς. Και, όπως λέχθηκε και στην </w:t>
      </w:r>
      <w:r w:rsidRPr="006561F7">
        <w:rPr>
          <w:rFonts w:ascii="Arial" w:hAnsi="Arial" w:cs="Arial"/>
          <w:b/>
          <w:bCs/>
          <w:i/>
          <w:iCs/>
          <w:sz w:val="28"/>
          <w:szCs w:val="28"/>
          <w:lang w:val="el-GR"/>
        </w:rPr>
        <w:t>Kapsaskis κ.ά. ν. Δημοκρατίας</w:t>
      </w:r>
      <w:r w:rsidRPr="006561F7">
        <w:rPr>
          <w:rFonts w:ascii="Arial" w:hAnsi="Arial" w:cs="Arial"/>
          <w:sz w:val="28"/>
          <w:szCs w:val="28"/>
          <w:lang w:val="el-GR"/>
        </w:rPr>
        <w:t xml:space="preserve">, συνεκδ. υποθ. αρ. 290/2012, 291/2012 και 203/2012, ημερ. 20.2.2013, η διοίκηση δεν έχει υποχρέωση παροχής οποιωνδήποτε εξηγήσεων για την έκδοση διατάγματος απαγόρευσης εισόδου αλλοδαπού για σκοπούς ασφάλειας. Το Δικαστήριο δεν ερευνά τους λόγους που συνάπτονται με θέματα κρατικής ασφάλειας που είναι κατ΄ εξοχήν έργο της εκτελεστικής εξουσίας. Τα ίδια λέχθηκαν και στην </w:t>
      </w:r>
      <w:r w:rsidRPr="006561F7">
        <w:rPr>
          <w:rFonts w:ascii="Arial" w:hAnsi="Arial" w:cs="Arial"/>
          <w:b/>
          <w:bCs/>
          <w:i/>
          <w:iCs/>
          <w:sz w:val="28"/>
          <w:szCs w:val="28"/>
          <w:lang w:val="el-GR"/>
        </w:rPr>
        <w:t>Kolomoets v. Δημοκρατίας</w:t>
      </w:r>
      <w:r w:rsidRPr="006561F7">
        <w:rPr>
          <w:rFonts w:ascii="Arial" w:hAnsi="Arial" w:cs="Arial"/>
          <w:sz w:val="28"/>
          <w:szCs w:val="28"/>
          <w:lang w:val="el-GR"/>
        </w:rPr>
        <w:t xml:space="preserve"> (1999) 4 Α.Α.Δ. 443, στο ότι η διοίκηση έχει ευρεία διακριτική ευχέρεια και εξουσία για απέλαση αλλοδαπών, εξουσία η οποία όταν συναρτάται προς κίνδυνο στην εσωτερική τάξη και την εθνική ασφάλεια, είναι ακόμη πιο πλατειά, (</w:t>
      </w:r>
      <w:r w:rsidRPr="006561F7">
        <w:rPr>
          <w:rFonts w:ascii="Arial" w:hAnsi="Arial" w:cs="Arial"/>
          <w:b/>
          <w:bCs/>
          <w:i/>
          <w:iCs/>
          <w:sz w:val="28"/>
          <w:szCs w:val="28"/>
          <w:lang w:val="el-GR"/>
        </w:rPr>
        <w:t>Mushtag v. Δημοκρατίας</w:t>
      </w:r>
      <w:r w:rsidRPr="006561F7">
        <w:rPr>
          <w:rFonts w:ascii="Arial" w:hAnsi="Arial" w:cs="Arial"/>
          <w:sz w:val="28"/>
          <w:szCs w:val="28"/>
          <w:lang w:val="el-GR"/>
        </w:rPr>
        <w:t xml:space="preserve"> (1995) 4 Α.Α.Δ. 1479)».</w:t>
      </w:r>
    </w:p>
    <w:p w14:paraId="4DB99177" w14:textId="77777777" w:rsidR="00A72E5E" w:rsidRDefault="00A72E5E" w:rsidP="00A72E5E">
      <w:pPr>
        <w:spacing w:after="0" w:line="276" w:lineRule="auto"/>
        <w:ind w:right="702"/>
        <w:jc w:val="both"/>
        <w:rPr>
          <w:rFonts w:ascii="Arial" w:hAnsi="Arial" w:cs="Arial"/>
          <w:lang w:val="el-GR"/>
        </w:rPr>
      </w:pPr>
    </w:p>
    <w:p w14:paraId="630E7312" w14:textId="77777777" w:rsidR="00A72E5E" w:rsidRPr="006C3AAF" w:rsidRDefault="00A72E5E" w:rsidP="00A72E5E">
      <w:pPr>
        <w:spacing w:after="0" w:line="276" w:lineRule="auto"/>
        <w:ind w:left="567" w:right="702"/>
        <w:jc w:val="both"/>
        <w:rPr>
          <w:rFonts w:ascii="Arial" w:hAnsi="Arial" w:cs="Arial"/>
          <w:lang w:val="el-GR"/>
        </w:rPr>
      </w:pPr>
    </w:p>
    <w:p w14:paraId="3C6173F9" w14:textId="5FD97491" w:rsidR="00A72E5E" w:rsidRPr="00B37722" w:rsidRDefault="004D0BAD" w:rsidP="00A72E5E">
      <w:pPr>
        <w:spacing w:before="240" w:after="0" w:line="480" w:lineRule="auto"/>
        <w:jc w:val="both"/>
        <w:rPr>
          <w:rFonts w:ascii="Arial" w:hAnsi="Arial" w:cs="Arial"/>
          <w:bCs/>
          <w:iCs/>
          <w:sz w:val="28"/>
          <w:szCs w:val="28"/>
          <w:lang w:val="el-GR"/>
        </w:rPr>
      </w:pPr>
      <w:r>
        <w:rPr>
          <w:rFonts w:ascii="Arial" w:hAnsi="Arial" w:cs="Arial"/>
          <w:sz w:val="28"/>
          <w:szCs w:val="28"/>
          <w:lang w:val="el-GR"/>
        </w:rPr>
        <w:t xml:space="preserve">    </w:t>
      </w:r>
      <w:r w:rsidR="00A72E5E">
        <w:rPr>
          <w:rFonts w:ascii="Arial" w:hAnsi="Arial" w:cs="Arial"/>
          <w:sz w:val="28"/>
          <w:szCs w:val="28"/>
          <w:lang w:val="el-GR"/>
        </w:rPr>
        <w:t xml:space="preserve">Στην </w:t>
      </w:r>
      <w:r w:rsidR="00A72E5E">
        <w:rPr>
          <w:rFonts w:ascii="Arial" w:hAnsi="Arial" w:cs="Arial"/>
          <w:b/>
          <w:i/>
          <w:sz w:val="28"/>
          <w:szCs w:val="28"/>
          <w:lang w:val="en-US"/>
        </w:rPr>
        <w:t>Bekefi</w:t>
      </w:r>
      <w:r w:rsidR="00A72E5E">
        <w:rPr>
          <w:rFonts w:ascii="Arial" w:hAnsi="Arial" w:cs="Arial"/>
          <w:b/>
          <w:i/>
          <w:sz w:val="28"/>
          <w:szCs w:val="28"/>
          <w:lang w:val="el-GR"/>
        </w:rPr>
        <w:t xml:space="preserve"> κ.ά. ν. Δημοκρατίας</w:t>
      </w:r>
      <w:r w:rsidR="00A236E2" w:rsidRPr="00A236E2">
        <w:rPr>
          <w:rFonts w:ascii="Arial" w:hAnsi="Arial" w:cs="Arial"/>
          <w:b/>
          <w:i/>
          <w:sz w:val="28"/>
          <w:szCs w:val="28"/>
          <w:lang w:val="el-GR"/>
        </w:rPr>
        <w:t xml:space="preserve"> (2016) 3 </w:t>
      </w:r>
      <w:r w:rsidR="00A236E2">
        <w:rPr>
          <w:rFonts w:ascii="Arial" w:hAnsi="Arial" w:cs="Arial"/>
          <w:b/>
          <w:i/>
          <w:sz w:val="28"/>
          <w:szCs w:val="28"/>
          <w:lang w:val="en-US"/>
        </w:rPr>
        <w:t>A</w:t>
      </w:r>
      <w:r w:rsidR="00A236E2" w:rsidRPr="00A236E2">
        <w:rPr>
          <w:rFonts w:ascii="Arial" w:hAnsi="Arial" w:cs="Arial"/>
          <w:b/>
          <w:i/>
          <w:sz w:val="28"/>
          <w:szCs w:val="28"/>
          <w:lang w:val="el-GR"/>
        </w:rPr>
        <w:t>.</w:t>
      </w:r>
      <w:r w:rsidR="00A236E2">
        <w:rPr>
          <w:rFonts w:ascii="Arial" w:hAnsi="Arial" w:cs="Arial"/>
          <w:b/>
          <w:i/>
          <w:sz w:val="28"/>
          <w:szCs w:val="28"/>
          <w:lang w:val="en-US"/>
        </w:rPr>
        <w:t>A</w:t>
      </w:r>
      <w:r w:rsidR="00A236E2" w:rsidRPr="00A236E2">
        <w:rPr>
          <w:rFonts w:ascii="Arial" w:hAnsi="Arial" w:cs="Arial"/>
          <w:b/>
          <w:i/>
          <w:sz w:val="28"/>
          <w:szCs w:val="28"/>
          <w:lang w:val="el-GR"/>
        </w:rPr>
        <w:t>.</w:t>
      </w:r>
      <w:r w:rsidR="00A236E2">
        <w:rPr>
          <w:rFonts w:ascii="Arial" w:hAnsi="Arial" w:cs="Arial"/>
          <w:b/>
          <w:i/>
          <w:sz w:val="28"/>
          <w:szCs w:val="28"/>
          <w:lang w:val="el-GR"/>
        </w:rPr>
        <w:t>Δ. 258</w:t>
      </w:r>
      <w:r w:rsidR="00A72E5E">
        <w:rPr>
          <w:rFonts w:ascii="Arial" w:hAnsi="Arial" w:cs="Arial"/>
          <w:bCs/>
          <w:iCs/>
          <w:sz w:val="28"/>
          <w:szCs w:val="28"/>
          <w:lang w:val="el-GR"/>
        </w:rPr>
        <w:t xml:space="preserve">, </w:t>
      </w:r>
      <w:r w:rsidR="00A236E2">
        <w:rPr>
          <w:rFonts w:ascii="Arial" w:hAnsi="Arial" w:cs="Arial"/>
          <w:bCs/>
          <w:iCs/>
          <w:sz w:val="28"/>
          <w:szCs w:val="28"/>
          <w:lang w:val="el-GR"/>
        </w:rPr>
        <w:t xml:space="preserve">267, </w:t>
      </w:r>
      <w:r w:rsidR="00A72E5E">
        <w:rPr>
          <w:rFonts w:ascii="Arial" w:hAnsi="Arial" w:cs="Arial"/>
          <w:bCs/>
          <w:iCs/>
          <w:sz w:val="28"/>
          <w:szCs w:val="28"/>
          <w:lang w:val="el-GR"/>
        </w:rPr>
        <w:t>και πάλι στα πλαίσια εξέτασης της δυνατότητας επιβολής περιορισμών στο δικαίωμα ελεύθερης κυκλοφορίας και διαμονής των πολιτών της Ευρωπαϊκής Ένωσης και των μελών των οικογενειών τους, για λόγους δημόσιας τάξης, δημόσιας ασφάλειας ή δημόσιας υγείας, αναφέρθηκε ότι:</w:t>
      </w:r>
    </w:p>
    <w:p w14:paraId="14D28F7A" w14:textId="3E2A9742" w:rsidR="00A72E5E" w:rsidRDefault="00A72E5E" w:rsidP="009213AD">
      <w:pPr>
        <w:spacing w:before="240" w:after="0" w:line="240" w:lineRule="auto"/>
        <w:ind w:left="567"/>
        <w:jc w:val="both"/>
        <w:rPr>
          <w:rFonts w:ascii="Arial" w:hAnsi="Arial" w:cs="Arial"/>
          <w:sz w:val="28"/>
          <w:szCs w:val="28"/>
          <w:lang w:val="el-GR"/>
        </w:rPr>
      </w:pPr>
      <w:r w:rsidRPr="006561F7">
        <w:rPr>
          <w:rFonts w:ascii="Arial" w:hAnsi="Arial" w:cs="Arial"/>
          <w:sz w:val="28"/>
          <w:szCs w:val="28"/>
          <w:lang w:val="el-GR"/>
        </w:rPr>
        <w:t xml:space="preserve">«Η έννοια της δημόσιας τάξης και της δημόσιας ασφάλειας δεν ορίζονται στην Οδηγία 2004/38/ΕΚ, ούτε στη νομολογία του Δικαστηρίου της Ευρωπαϊκής Ένωσης (ΔΕΕ). Η δε έκταση της διακριτικής ευχέρειας των κρατών μελών στον τομέα αυτό, επίσης  παραμένει αόριστη και αδιευκρίνιστη. Προφανώς γιατί πρόκειται </w:t>
      </w:r>
      <w:r w:rsidRPr="006561F7">
        <w:rPr>
          <w:rFonts w:ascii="Arial" w:hAnsi="Arial" w:cs="Arial"/>
          <w:sz w:val="28"/>
          <w:szCs w:val="28"/>
          <w:lang w:val="el-GR"/>
        </w:rPr>
        <w:lastRenderedPageBreak/>
        <w:t>για ευαίσθητα ζητήματα εμπίπτοντα στη σφαίρα του κυριαρχικού δικαιώματος των κρατών μελών της Ευρωπαϊκής Ένωσης να ρυθμίζουν και να ελέγχουν τα περί της εισόδου και παραμονής ξένων υπηκόων στο έδαφος τους και που χρήζουν, συνήθως, καθορισμού σε ad hoc βάση. Όπως έχει τονιστεί επανειλημμένα από το ΔΕΕ, τα κράτη μέλη είναι ελεύθερα κατ’ ουσία να καθορίζουν τις απαιτήσεις της δημόσιας τάξης και της δημόσιας ασφάλειας σύμφωνα με τις εθνικές τους ανάγκες και αξίες (</w:t>
      </w:r>
      <w:r w:rsidRPr="006561F7">
        <w:rPr>
          <w:rFonts w:ascii="Arial" w:hAnsi="Arial" w:cs="Arial"/>
          <w:b/>
          <w:bCs/>
          <w:sz w:val="28"/>
          <w:szCs w:val="28"/>
          <w:lang w:val="el-GR"/>
        </w:rPr>
        <w:t>36/75 Rutili</w:t>
      </w:r>
      <w:r w:rsidRPr="006561F7">
        <w:rPr>
          <w:rFonts w:ascii="Arial" w:hAnsi="Arial" w:cs="Arial"/>
          <w:sz w:val="28"/>
          <w:szCs w:val="28"/>
          <w:lang w:val="el-GR"/>
        </w:rPr>
        <w:t>), οι οποίες ενδέχεται να διαφέρουν ανάλογα με το κράτος και τη χρονική περίοδο. Οι απαιτήσεις αυτές πρέπει, όμως, να ερμηνεύονται συσταλτικώς στο πλαίσιο της Ένωσης, αν χρησιμοποιούνται ως δικαιολογητικός λόγος για παρέκκλιση από τη θεμελιώδη αρχή της ελεύθερης κυκλοφορίας των προσώπων. Η έννοια της δημόσιας τάξης προϋποθέτει, εν πάση περιπτώσει, εκτός της διασάλευσης της κοινωνικής τάξης, την οποία συνιστά κάθε παράβαση του νόμου, την ύπαρξη πραγματικής, ενεστώσας και αρκούντως σοβαρής απειλής κατά θεμελιώδους συμφέροντος της κοινωνίας (βλ.</w:t>
      </w:r>
      <w:r w:rsidRPr="006561F7">
        <w:rPr>
          <w:rFonts w:ascii="Arial" w:hAnsi="Arial" w:cs="Arial"/>
          <w:b/>
          <w:bCs/>
          <w:sz w:val="28"/>
          <w:szCs w:val="28"/>
          <w:lang w:val="el-GR"/>
        </w:rPr>
        <w:t xml:space="preserve">C-434/10, Petar </w:t>
      </w:r>
      <w:r w:rsidRPr="006561F7">
        <w:rPr>
          <w:rFonts w:ascii="Arial" w:hAnsi="Arial" w:cs="Arial"/>
          <w:b/>
          <w:bCs/>
          <w:sz w:val="28"/>
          <w:szCs w:val="28"/>
          <w:lang w:val="en-US"/>
        </w:rPr>
        <w:t>Aladzhov</w:t>
      </w:r>
      <w:r w:rsidRPr="006561F7">
        <w:rPr>
          <w:rFonts w:ascii="Arial" w:hAnsi="Arial" w:cs="Arial"/>
          <w:b/>
          <w:bCs/>
          <w:sz w:val="28"/>
          <w:szCs w:val="28"/>
          <w:lang w:val="el-GR"/>
        </w:rPr>
        <w:t xml:space="preserve"> </w:t>
      </w:r>
      <w:r w:rsidRPr="006561F7">
        <w:rPr>
          <w:rFonts w:ascii="Arial" w:hAnsi="Arial" w:cs="Arial"/>
          <w:b/>
          <w:bCs/>
          <w:sz w:val="28"/>
          <w:szCs w:val="28"/>
          <w:lang w:val="en-US"/>
        </w:rPr>
        <w:t>v</w:t>
      </w:r>
      <w:r w:rsidRPr="006561F7">
        <w:rPr>
          <w:rFonts w:ascii="Arial" w:hAnsi="Arial" w:cs="Arial"/>
          <w:b/>
          <w:bCs/>
          <w:sz w:val="28"/>
          <w:szCs w:val="28"/>
          <w:lang w:val="el-GR"/>
        </w:rPr>
        <w:t xml:space="preserve">. </w:t>
      </w:r>
      <w:r w:rsidRPr="006561F7">
        <w:rPr>
          <w:rFonts w:ascii="Arial" w:hAnsi="Arial" w:cs="Arial"/>
          <w:b/>
          <w:bCs/>
          <w:sz w:val="28"/>
          <w:szCs w:val="28"/>
          <w:lang w:val="en-US"/>
        </w:rPr>
        <w:t>Zamestnik</w:t>
      </w:r>
      <w:r w:rsidRPr="006561F7">
        <w:rPr>
          <w:rFonts w:ascii="Arial" w:hAnsi="Arial" w:cs="Arial"/>
          <w:b/>
          <w:bCs/>
          <w:sz w:val="28"/>
          <w:szCs w:val="28"/>
          <w:lang w:val="el-GR"/>
        </w:rPr>
        <w:t xml:space="preserve"> </w:t>
      </w:r>
      <w:r w:rsidRPr="006561F7">
        <w:rPr>
          <w:rFonts w:ascii="Arial" w:hAnsi="Arial" w:cs="Arial"/>
          <w:b/>
          <w:bCs/>
          <w:sz w:val="28"/>
          <w:szCs w:val="28"/>
          <w:lang w:val="en-US"/>
        </w:rPr>
        <w:t>director</w:t>
      </w:r>
      <w:r w:rsidRPr="006561F7">
        <w:rPr>
          <w:rFonts w:ascii="Arial" w:hAnsi="Arial" w:cs="Arial"/>
          <w:b/>
          <w:bCs/>
          <w:sz w:val="28"/>
          <w:szCs w:val="28"/>
          <w:lang w:val="el-GR"/>
        </w:rPr>
        <w:t xml:space="preserve"> </w:t>
      </w:r>
      <w:r w:rsidRPr="006561F7">
        <w:rPr>
          <w:rFonts w:ascii="Arial" w:hAnsi="Arial" w:cs="Arial"/>
          <w:b/>
          <w:bCs/>
          <w:sz w:val="28"/>
          <w:szCs w:val="28"/>
          <w:lang w:val="en-US"/>
        </w:rPr>
        <w:t>na</w:t>
      </w:r>
      <w:r w:rsidRPr="006561F7">
        <w:rPr>
          <w:rFonts w:ascii="Arial" w:hAnsi="Arial" w:cs="Arial"/>
          <w:b/>
          <w:bCs/>
          <w:sz w:val="28"/>
          <w:szCs w:val="28"/>
          <w:lang w:val="el-GR"/>
        </w:rPr>
        <w:t xml:space="preserve"> </w:t>
      </w:r>
      <w:r w:rsidRPr="006561F7">
        <w:rPr>
          <w:rFonts w:ascii="Arial" w:hAnsi="Arial" w:cs="Arial"/>
          <w:b/>
          <w:bCs/>
          <w:sz w:val="28"/>
          <w:szCs w:val="28"/>
          <w:lang w:val="en-US"/>
        </w:rPr>
        <w:t>Stolichna</w:t>
      </w:r>
      <w:r w:rsidRPr="006561F7">
        <w:rPr>
          <w:rFonts w:ascii="Arial" w:hAnsi="Arial" w:cs="Arial"/>
          <w:b/>
          <w:bCs/>
          <w:sz w:val="28"/>
          <w:szCs w:val="28"/>
          <w:lang w:val="el-GR"/>
        </w:rPr>
        <w:t xml:space="preserve"> </w:t>
      </w:r>
      <w:r w:rsidRPr="006561F7">
        <w:rPr>
          <w:rFonts w:ascii="Arial" w:hAnsi="Arial" w:cs="Arial"/>
          <w:b/>
          <w:bCs/>
          <w:sz w:val="28"/>
          <w:szCs w:val="28"/>
          <w:lang w:val="en-US"/>
        </w:rPr>
        <w:t>direktsia</w:t>
      </w:r>
      <w:r w:rsidRPr="006561F7">
        <w:rPr>
          <w:rFonts w:ascii="Arial" w:hAnsi="Arial" w:cs="Arial"/>
          <w:b/>
          <w:bCs/>
          <w:sz w:val="28"/>
          <w:szCs w:val="28"/>
          <w:lang w:val="el-GR"/>
        </w:rPr>
        <w:t xml:space="preserve"> </w:t>
      </w:r>
      <w:r w:rsidRPr="006561F7">
        <w:rPr>
          <w:rFonts w:ascii="Arial" w:hAnsi="Arial" w:cs="Arial"/>
          <w:b/>
          <w:bCs/>
          <w:sz w:val="28"/>
          <w:szCs w:val="28"/>
          <w:lang w:val="en-US"/>
        </w:rPr>
        <w:t>na</w:t>
      </w:r>
      <w:r w:rsidRPr="006561F7">
        <w:rPr>
          <w:rFonts w:ascii="Arial" w:hAnsi="Arial" w:cs="Arial"/>
          <w:b/>
          <w:bCs/>
          <w:sz w:val="28"/>
          <w:szCs w:val="28"/>
          <w:lang w:val="el-GR"/>
        </w:rPr>
        <w:t xml:space="preserve"> </w:t>
      </w:r>
      <w:r w:rsidRPr="006561F7">
        <w:rPr>
          <w:rFonts w:ascii="Arial" w:hAnsi="Arial" w:cs="Arial"/>
          <w:b/>
          <w:bCs/>
          <w:sz w:val="28"/>
          <w:szCs w:val="28"/>
          <w:lang w:val="en-US"/>
        </w:rPr>
        <w:t>vatreshnite</w:t>
      </w:r>
      <w:r w:rsidRPr="006561F7">
        <w:rPr>
          <w:rFonts w:ascii="Arial" w:hAnsi="Arial" w:cs="Arial"/>
          <w:b/>
          <w:bCs/>
          <w:sz w:val="28"/>
          <w:szCs w:val="28"/>
          <w:lang w:val="el-GR"/>
        </w:rPr>
        <w:t xml:space="preserve"> </w:t>
      </w:r>
      <w:r w:rsidRPr="006561F7">
        <w:rPr>
          <w:rFonts w:ascii="Arial" w:hAnsi="Arial" w:cs="Arial"/>
          <w:b/>
          <w:bCs/>
          <w:sz w:val="28"/>
          <w:szCs w:val="28"/>
          <w:lang w:val="en-US"/>
        </w:rPr>
        <w:t>raboti</w:t>
      </w:r>
      <w:r w:rsidRPr="006561F7">
        <w:rPr>
          <w:rFonts w:ascii="Arial" w:hAnsi="Arial" w:cs="Arial"/>
          <w:b/>
          <w:bCs/>
          <w:sz w:val="28"/>
          <w:szCs w:val="28"/>
          <w:lang w:val="el-GR"/>
        </w:rPr>
        <w:t xml:space="preserve"> </w:t>
      </w:r>
      <w:r w:rsidRPr="006561F7">
        <w:rPr>
          <w:rFonts w:ascii="Arial" w:hAnsi="Arial" w:cs="Arial"/>
          <w:b/>
          <w:bCs/>
          <w:sz w:val="28"/>
          <w:szCs w:val="28"/>
          <w:lang w:val="en-US"/>
        </w:rPr>
        <w:t>kam</w:t>
      </w:r>
      <w:r w:rsidRPr="006561F7">
        <w:rPr>
          <w:rFonts w:ascii="Arial" w:hAnsi="Arial" w:cs="Arial"/>
          <w:b/>
          <w:bCs/>
          <w:sz w:val="28"/>
          <w:szCs w:val="28"/>
          <w:lang w:val="el-GR"/>
        </w:rPr>
        <w:t xml:space="preserve"> Ministerstvo na vatreshnite raboti</w:t>
      </w:r>
      <w:r w:rsidRPr="006561F7">
        <w:rPr>
          <w:rFonts w:ascii="Arial" w:hAnsi="Arial" w:cs="Arial"/>
          <w:sz w:val="28"/>
          <w:szCs w:val="28"/>
          <w:lang w:val="el-GR"/>
        </w:rPr>
        <w:t>, ημερομηνίας 17.11.2011), η οποία να θεμελιώνεται αποκλειστικά στην προσωπική συμπεριφορά του ενδιαφερόμενου πολίτη της Ένωσης»</w:t>
      </w:r>
      <w:r w:rsidR="001B1DE7">
        <w:rPr>
          <w:rFonts w:ascii="Arial" w:hAnsi="Arial" w:cs="Arial"/>
          <w:sz w:val="28"/>
          <w:szCs w:val="28"/>
          <w:lang w:val="el-GR"/>
        </w:rPr>
        <w:t>.</w:t>
      </w:r>
    </w:p>
    <w:p w14:paraId="4987E044" w14:textId="77777777" w:rsidR="00D16634" w:rsidRDefault="00D16634" w:rsidP="009213AD">
      <w:pPr>
        <w:spacing w:before="240" w:after="0" w:line="240" w:lineRule="auto"/>
        <w:ind w:left="567"/>
        <w:jc w:val="both"/>
        <w:rPr>
          <w:rFonts w:ascii="Arial" w:hAnsi="Arial" w:cs="Arial"/>
          <w:sz w:val="28"/>
          <w:szCs w:val="28"/>
          <w:lang w:val="el-GR"/>
        </w:rPr>
      </w:pPr>
    </w:p>
    <w:p w14:paraId="37744573" w14:textId="77777777" w:rsidR="00D16634" w:rsidRPr="006F0B2C" w:rsidRDefault="00D16634" w:rsidP="009213AD">
      <w:pPr>
        <w:spacing w:before="240" w:after="0" w:line="240" w:lineRule="auto"/>
        <w:ind w:left="567"/>
        <w:jc w:val="both"/>
        <w:rPr>
          <w:rFonts w:ascii="Arial" w:hAnsi="Arial" w:cs="Arial"/>
          <w:lang w:val="el-GR"/>
        </w:rPr>
      </w:pPr>
    </w:p>
    <w:p w14:paraId="0C437469" w14:textId="516533AB" w:rsidR="00A72E5E" w:rsidRDefault="004D0BAD" w:rsidP="00A72E5E">
      <w:pPr>
        <w:spacing w:after="0" w:line="480" w:lineRule="auto"/>
        <w:jc w:val="both"/>
        <w:rPr>
          <w:rFonts w:ascii="Arial" w:hAnsi="Arial" w:cs="Arial"/>
          <w:color w:val="000000"/>
          <w:sz w:val="28"/>
          <w:szCs w:val="28"/>
          <w:lang w:val="el-GR"/>
        </w:rPr>
      </w:pPr>
      <w:r>
        <w:rPr>
          <w:rFonts w:ascii="Arial" w:hAnsi="Arial" w:cs="Arial"/>
          <w:sz w:val="28"/>
          <w:szCs w:val="28"/>
          <w:lang w:val="el-GR"/>
        </w:rPr>
        <w:t xml:space="preserve">    </w:t>
      </w:r>
      <w:r w:rsidR="00A72E5E">
        <w:rPr>
          <w:rFonts w:ascii="Arial" w:hAnsi="Arial" w:cs="Arial"/>
          <w:sz w:val="28"/>
          <w:szCs w:val="28"/>
          <w:lang w:val="el-GR"/>
        </w:rPr>
        <w:t xml:space="preserve">Ο έλεγχος της διάρκειας της κράτησης διενεργείται υπό το φως των διατάξεων του </w:t>
      </w:r>
      <w:r w:rsidR="00A72E5E" w:rsidRPr="004D0BAD">
        <w:rPr>
          <w:rFonts w:ascii="Arial" w:hAnsi="Arial" w:cs="Arial"/>
          <w:b/>
          <w:bCs/>
          <w:i/>
          <w:iCs/>
          <w:sz w:val="28"/>
          <w:szCs w:val="28"/>
          <w:lang w:val="el-GR"/>
        </w:rPr>
        <w:t>άρθρου 9ΣΤ(4)(α)</w:t>
      </w:r>
      <w:r w:rsidR="00A72E5E">
        <w:rPr>
          <w:rFonts w:ascii="Arial" w:hAnsi="Arial" w:cs="Arial"/>
          <w:sz w:val="28"/>
          <w:szCs w:val="28"/>
          <w:lang w:val="el-GR"/>
        </w:rPr>
        <w:t xml:space="preserve"> του </w:t>
      </w:r>
      <w:r>
        <w:rPr>
          <w:rFonts w:ascii="Arial" w:hAnsi="Arial" w:cs="Arial"/>
          <w:b/>
          <w:i/>
          <w:sz w:val="28"/>
          <w:szCs w:val="28"/>
          <w:lang w:val="el-GR"/>
        </w:rPr>
        <w:t xml:space="preserve">Ν.6(Ι)/2000 </w:t>
      </w:r>
      <w:r w:rsidR="00A72E5E">
        <w:rPr>
          <w:rFonts w:ascii="Arial" w:hAnsi="Arial" w:cs="Arial"/>
          <w:sz w:val="28"/>
          <w:szCs w:val="28"/>
          <w:lang w:val="el-GR"/>
        </w:rPr>
        <w:t xml:space="preserve">που προνοεί ότι: </w:t>
      </w:r>
      <w:r w:rsidR="00A72E5E">
        <w:rPr>
          <w:rFonts w:ascii="Arial" w:hAnsi="Arial" w:cs="Arial"/>
          <w:iCs/>
          <w:sz w:val="28"/>
          <w:szCs w:val="28"/>
          <w:lang w:val="el-GR"/>
        </w:rPr>
        <w:t>«</w:t>
      </w:r>
      <w:r w:rsidR="00A72E5E">
        <w:rPr>
          <w:rFonts w:ascii="Arial" w:hAnsi="Arial" w:cs="Arial"/>
          <w:i/>
          <w:color w:val="000000"/>
          <w:sz w:val="28"/>
          <w:szCs w:val="28"/>
          <w:lang w:val="el-GR"/>
        </w:rPr>
        <w:t>Η κράτηση αιτητή έχει τη μικρότερη δυνατή διάρκεια και διαρκεί μόνο για</w:t>
      </w:r>
      <w:r w:rsidR="00A72E5E">
        <w:rPr>
          <w:rFonts w:ascii="Arial" w:hAnsi="Arial" w:cs="Arial"/>
          <w:i/>
          <w:color w:val="000000"/>
          <w:sz w:val="28"/>
          <w:szCs w:val="28"/>
        </w:rPr>
        <w:t> </w:t>
      </w:r>
      <w:r w:rsidR="00A72E5E">
        <w:rPr>
          <w:rFonts w:ascii="Arial" w:hAnsi="Arial" w:cs="Arial"/>
          <w:i/>
          <w:color w:val="000000"/>
          <w:sz w:val="28"/>
          <w:szCs w:val="28"/>
          <w:lang w:val="el-GR"/>
        </w:rPr>
        <w:t>όσο διάστημα ισχύει λόγος κράτησης που προβλέπεται στο εδάφιο (2)</w:t>
      </w:r>
      <w:r w:rsidR="00A72E5E">
        <w:rPr>
          <w:rFonts w:ascii="Arial" w:hAnsi="Arial" w:cs="Arial"/>
          <w:iCs/>
          <w:color w:val="000000"/>
          <w:sz w:val="28"/>
          <w:szCs w:val="28"/>
          <w:lang w:val="el-GR"/>
        </w:rPr>
        <w:t>»</w:t>
      </w:r>
      <w:r w:rsidR="001B1DE7">
        <w:rPr>
          <w:rFonts w:ascii="Arial" w:hAnsi="Arial" w:cs="Arial"/>
          <w:iCs/>
          <w:color w:val="000000"/>
          <w:sz w:val="28"/>
          <w:szCs w:val="28"/>
          <w:lang w:val="el-GR"/>
        </w:rPr>
        <w:t>.</w:t>
      </w:r>
      <w:r w:rsidR="00A72E5E">
        <w:rPr>
          <w:rFonts w:ascii="Arial" w:hAnsi="Arial" w:cs="Arial"/>
          <w:color w:val="000000"/>
          <w:sz w:val="28"/>
          <w:szCs w:val="28"/>
          <w:lang w:val="el-GR"/>
        </w:rPr>
        <w:t xml:space="preserve">  Ακόμα, στο </w:t>
      </w:r>
      <w:r w:rsidR="00A72E5E" w:rsidRPr="004D0BAD">
        <w:rPr>
          <w:rFonts w:ascii="Arial" w:hAnsi="Arial" w:cs="Arial"/>
          <w:b/>
          <w:bCs/>
          <w:i/>
          <w:iCs/>
          <w:color w:val="000000"/>
          <w:sz w:val="28"/>
          <w:szCs w:val="28"/>
          <w:lang w:val="el-GR"/>
        </w:rPr>
        <w:t>άρθρο 9ΣΤ(4)(β)</w:t>
      </w:r>
      <w:r w:rsidR="00A72E5E">
        <w:rPr>
          <w:rFonts w:ascii="Arial" w:hAnsi="Arial" w:cs="Arial"/>
          <w:color w:val="000000"/>
          <w:sz w:val="28"/>
          <w:szCs w:val="28"/>
          <w:lang w:val="el-GR"/>
        </w:rPr>
        <w:t xml:space="preserve"> προβλέπεται ότι: «</w:t>
      </w:r>
      <w:r w:rsidR="00A72E5E">
        <w:rPr>
          <w:rFonts w:ascii="Arial" w:hAnsi="Arial" w:cs="Arial"/>
          <w:i/>
          <w:iCs/>
          <w:color w:val="000000"/>
          <w:sz w:val="28"/>
          <w:szCs w:val="28"/>
          <w:lang w:val="el-GR"/>
        </w:rPr>
        <w:t xml:space="preserve">Οι διοικητικές διαδικασίες που συνδέονται με λόγο κράτησης που προβλέπεται στο εδάφιο (2) εκτελούνται χωρίς περιττές καθυστερήσεις.  Καθυστερήσεις </w:t>
      </w:r>
      <w:r w:rsidR="00A72E5E">
        <w:rPr>
          <w:rFonts w:ascii="Arial" w:hAnsi="Arial" w:cs="Arial"/>
          <w:i/>
          <w:iCs/>
          <w:color w:val="000000"/>
          <w:sz w:val="28"/>
          <w:szCs w:val="28"/>
          <w:lang w:val="el-GR"/>
        </w:rPr>
        <w:lastRenderedPageBreak/>
        <w:t>των διοικητικών διαδικασιών που δεν μπορούν να αποδοθούν στον αιτητή δεν δικαιολογούν την συνέχιση της κράτησης</w:t>
      </w:r>
      <w:r w:rsidR="00A72E5E">
        <w:rPr>
          <w:rFonts w:ascii="Arial" w:hAnsi="Arial" w:cs="Arial"/>
          <w:color w:val="000000"/>
          <w:sz w:val="28"/>
          <w:szCs w:val="28"/>
          <w:lang w:val="el-GR"/>
        </w:rPr>
        <w:t xml:space="preserve">». </w:t>
      </w:r>
    </w:p>
    <w:p w14:paraId="62BAF2E2" w14:textId="77777777" w:rsidR="007D227B" w:rsidRDefault="007D227B" w:rsidP="00A72E5E">
      <w:pPr>
        <w:spacing w:after="0" w:line="480" w:lineRule="auto"/>
        <w:jc w:val="both"/>
        <w:rPr>
          <w:rFonts w:ascii="Arial" w:hAnsi="Arial" w:cs="Arial"/>
          <w:sz w:val="28"/>
          <w:szCs w:val="28"/>
          <w:lang w:val="el-GR"/>
        </w:rPr>
      </w:pPr>
    </w:p>
    <w:p w14:paraId="5BBAC29A" w14:textId="5205086A" w:rsidR="00A72E5E" w:rsidRPr="00D025D9" w:rsidRDefault="009213AD" w:rsidP="00A72E5E">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A72E5E">
        <w:rPr>
          <w:rFonts w:ascii="Arial" w:hAnsi="Arial" w:cs="Arial"/>
          <w:sz w:val="28"/>
          <w:szCs w:val="28"/>
          <w:lang w:val="el-GR"/>
        </w:rPr>
        <w:t xml:space="preserve">Στην </w:t>
      </w:r>
      <w:r w:rsidR="00A72E5E">
        <w:rPr>
          <w:rFonts w:ascii="Arial" w:hAnsi="Arial" w:cs="Arial"/>
          <w:b/>
          <w:bCs/>
          <w:i/>
          <w:iCs/>
          <w:sz w:val="28"/>
          <w:szCs w:val="28"/>
          <w:lang w:val="el-GR"/>
        </w:rPr>
        <w:t xml:space="preserve">Αναφορικά με την Αίτηση του </w:t>
      </w:r>
      <w:r w:rsidR="00A72E5E">
        <w:rPr>
          <w:rFonts w:ascii="Arial" w:hAnsi="Arial" w:cs="Arial"/>
          <w:b/>
          <w:bCs/>
          <w:i/>
          <w:iCs/>
          <w:sz w:val="28"/>
          <w:szCs w:val="28"/>
          <w:lang w:val="en-US"/>
        </w:rPr>
        <w:t>Khoshorauli</w:t>
      </w:r>
      <w:r w:rsidR="00A72E5E">
        <w:rPr>
          <w:rFonts w:ascii="Arial" w:hAnsi="Arial" w:cs="Arial"/>
          <w:b/>
          <w:bCs/>
          <w:i/>
          <w:iCs/>
          <w:sz w:val="28"/>
          <w:szCs w:val="28"/>
          <w:lang w:val="el-GR"/>
        </w:rPr>
        <w:t>, Πολ. Αίτηση Αρ.1/2019, ημερ.</w:t>
      </w:r>
      <w:r w:rsidR="00A72E5E" w:rsidRPr="00BF2F40">
        <w:rPr>
          <w:rFonts w:ascii="Arial" w:hAnsi="Arial" w:cs="Arial"/>
          <w:b/>
          <w:bCs/>
          <w:i/>
          <w:iCs/>
          <w:sz w:val="28"/>
          <w:szCs w:val="28"/>
          <w:lang w:val="el-GR"/>
        </w:rPr>
        <w:t>24.1</w:t>
      </w:r>
      <w:r w:rsidR="00A72E5E">
        <w:rPr>
          <w:rFonts w:ascii="Arial" w:hAnsi="Arial" w:cs="Arial"/>
          <w:b/>
          <w:bCs/>
          <w:i/>
          <w:iCs/>
          <w:sz w:val="28"/>
          <w:szCs w:val="28"/>
          <w:lang w:val="el-GR"/>
        </w:rPr>
        <w:t>.2019</w:t>
      </w:r>
      <w:r w:rsidR="00A72E5E" w:rsidRPr="00BF2F40">
        <w:rPr>
          <w:rFonts w:ascii="Arial" w:hAnsi="Arial" w:cs="Arial"/>
          <w:sz w:val="28"/>
          <w:szCs w:val="28"/>
          <w:lang w:val="el-GR"/>
        </w:rPr>
        <w:t xml:space="preserve">, </w:t>
      </w:r>
      <w:r w:rsidR="0066785F">
        <w:rPr>
          <w:rFonts w:ascii="Arial" w:hAnsi="Arial" w:cs="Arial"/>
          <w:sz w:val="28"/>
          <w:szCs w:val="28"/>
          <w:lang w:val="el-GR"/>
        </w:rPr>
        <w:t>αναφέρθηκε</w:t>
      </w:r>
      <w:r w:rsidR="00A72E5E">
        <w:rPr>
          <w:rFonts w:ascii="Arial" w:hAnsi="Arial" w:cs="Arial"/>
          <w:sz w:val="28"/>
          <w:szCs w:val="28"/>
          <w:lang w:val="el-GR"/>
        </w:rPr>
        <w:t xml:space="preserve"> πως και όταν η νομιμότητα της αρχικής κράτησης είναι δεδομένη, η κράτηση μπορεί να καταστεί στη συνέχεια παράνομη όταν διαπιστώνεται υπέρβαση του εύλογου χρόνου που απαιτείται για το σκοπό της κράτησης, που προσδιορίστηκε ως η διευθέτηση της απέλασης εάν απορριπτόταν το αίτημα για πολιτικό άσυλο.</w:t>
      </w:r>
    </w:p>
    <w:p w14:paraId="67BF54F3" w14:textId="77777777" w:rsidR="00A72E5E" w:rsidRDefault="00A72E5E" w:rsidP="00A72E5E">
      <w:pPr>
        <w:spacing w:after="0" w:line="480" w:lineRule="auto"/>
        <w:jc w:val="both"/>
        <w:rPr>
          <w:rFonts w:ascii="Arial" w:hAnsi="Arial" w:cs="Arial"/>
          <w:sz w:val="28"/>
          <w:szCs w:val="28"/>
          <w:lang w:val="el-GR"/>
        </w:rPr>
      </w:pPr>
    </w:p>
    <w:p w14:paraId="7C81BF28" w14:textId="77777777" w:rsidR="00986B13" w:rsidRDefault="0066785F" w:rsidP="00A72E5E">
      <w:pPr>
        <w:spacing w:after="0" w:line="480" w:lineRule="auto"/>
        <w:jc w:val="both"/>
        <w:rPr>
          <w:rFonts w:ascii="Arial" w:hAnsi="Arial" w:cs="Arial"/>
          <w:sz w:val="28"/>
          <w:szCs w:val="28"/>
          <w:lang w:val="el-GR"/>
        </w:rPr>
      </w:pPr>
      <w:r>
        <w:rPr>
          <w:rFonts w:ascii="Arial" w:hAnsi="Arial" w:cs="Arial"/>
          <w:sz w:val="28"/>
          <w:szCs w:val="28"/>
          <w:lang w:val="el-GR"/>
        </w:rPr>
        <w:t xml:space="preserve">    Το</w:t>
      </w:r>
      <w:r w:rsidR="00A72E5E">
        <w:rPr>
          <w:rFonts w:ascii="Arial" w:hAnsi="Arial" w:cs="Arial"/>
          <w:sz w:val="28"/>
          <w:szCs w:val="28"/>
          <w:lang w:val="el-GR"/>
        </w:rPr>
        <w:t xml:space="preserve"> δεδομέν</w:t>
      </w:r>
      <w:r>
        <w:rPr>
          <w:rFonts w:ascii="Arial" w:hAnsi="Arial" w:cs="Arial"/>
          <w:sz w:val="28"/>
          <w:szCs w:val="28"/>
          <w:lang w:val="el-GR"/>
        </w:rPr>
        <w:t>ο</w:t>
      </w:r>
      <w:r w:rsidR="00A72E5E">
        <w:rPr>
          <w:rFonts w:ascii="Arial" w:hAnsi="Arial" w:cs="Arial"/>
          <w:sz w:val="28"/>
          <w:szCs w:val="28"/>
          <w:lang w:val="el-GR"/>
        </w:rPr>
        <w:t xml:space="preserve"> της νομιμότητας του διατάγματος </w:t>
      </w:r>
      <w:r>
        <w:rPr>
          <w:rFonts w:ascii="Arial" w:hAnsi="Arial" w:cs="Arial"/>
          <w:sz w:val="28"/>
          <w:szCs w:val="28"/>
          <w:lang w:val="el-GR"/>
        </w:rPr>
        <w:t>κράτησης δεν καθιστά τη συνέχιση της κράτησης</w:t>
      </w:r>
      <w:r w:rsidR="00A72E5E">
        <w:rPr>
          <w:rFonts w:ascii="Arial" w:hAnsi="Arial" w:cs="Arial"/>
          <w:sz w:val="28"/>
          <w:szCs w:val="28"/>
          <w:lang w:val="el-GR"/>
        </w:rPr>
        <w:t xml:space="preserve"> εκ προοιμίου και χωρίς άλλο νόμιμη</w:t>
      </w:r>
      <w:r>
        <w:rPr>
          <w:rFonts w:ascii="Arial" w:hAnsi="Arial" w:cs="Arial"/>
          <w:sz w:val="28"/>
          <w:szCs w:val="28"/>
          <w:lang w:val="el-GR"/>
        </w:rPr>
        <w:t xml:space="preserve">.  Διαφορετικά θα αφαιρείτο </w:t>
      </w:r>
      <w:r w:rsidR="00A72E5E">
        <w:rPr>
          <w:rFonts w:ascii="Arial" w:hAnsi="Arial" w:cs="Arial"/>
          <w:sz w:val="28"/>
          <w:szCs w:val="28"/>
          <w:lang w:val="el-GR"/>
        </w:rPr>
        <w:t xml:space="preserve">από το Δικαστήριο η δυνατότητα ελέγχου της διάρκειας της κράτησης που είναι η πεμπτουσία του προνομιακού εντάλματος </w:t>
      </w:r>
      <w:r w:rsidR="00A72E5E">
        <w:rPr>
          <w:rFonts w:ascii="Arial" w:hAnsi="Arial" w:cs="Arial"/>
          <w:sz w:val="28"/>
          <w:szCs w:val="28"/>
          <w:lang w:val="en-US"/>
        </w:rPr>
        <w:t>Habeas</w:t>
      </w:r>
      <w:r w:rsidR="00A72E5E">
        <w:rPr>
          <w:rFonts w:ascii="Arial" w:hAnsi="Arial" w:cs="Arial"/>
          <w:sz w:val="28"/>
          <w:szCs w:val="28"/>
          <w:lang w:val="el-GR"/>
        </w:rPr>
        <w:t xml:space="preserve"> </w:t>
      </w:r>
      <w:r w:rsidR="00A72E5E">
        <w:rPr>
          <w:rFonts w:ascii="Arial" w:hAnsi="Arial" w:cs="Arial"/>
          <w:sz w:val="28"/>
          <w:szCs w:val="28"/>
          <w:lang w:val="en-US"/>
        </w:rPr>
        <w:t>Corpus</w:t>
      </w:r>
      <w:r w:rsidR="00A72E5E" w:rsidRPr="00887C96">
        <w:rPr>
          <w:rFonts w:ascii="Arial" w:hAnsi="Arial" w:cs="Arial"/>
          <w:sz w:val="28"/>
          <w:szCs w:val="28"/>
          <w:lang w:val="el-GR"/>
        </w:rPr>
        <w:t xml:space="preserve"> (</w:t>
      </w:r>
      <w:r w:rsidR="00A72E5E" w:rsidRPr="00887C96">
        <w:rPr>
          <w:rFonts w:ascii="Arial" w:hAnsi="Arial" w:cs="Arial"/>
          <w:b/>
          <w:bCs/>
          <w:i/>
          <w:iCs/>
          <w:sz w:val="28"/>
          <w:szCs w:val="28"/>
          <w:lang w:val="en-US"/>
        </w:rPr>
        <w:t>Haghilo</w:t>
      </w:r>
      <w:r w:rsidR="00A72E5E" w:rsidRPr="00887C96">
        <w:rPr>
          <w:rFonts w:ascii="Arial" w:hAnsi="Arial" w:cs="Arial"/>
          <w:b/>
          <w:bCs/>
          <w:i/>
          <w:iCs/>
          <w:sz w:val="28"/>
          <w:szCs w:val="28"/>
          <w:lang w:val="el-GR"/>
        </w:rPr>
        <w:t xml:space="preserve"> (2011) 1(Γ) Α.Α.Δ. 2219</w:t>
      </w:r>
      <w:r w:rsidR="00A72E5E">
        <w:rPr>
          <w:rFonts w:ascii="Arial" w:hAnsi="Arial" w:cs="Arial"/>
          <w:sz w:val="28"/>
          <w:szCs w:val="28"/>
          <w:lang w:val="el-GR"/>
        </w:rPr>
        <w:t>, 2224).</w:t>
      </w:r>
      <w:r w:rsidR="00AA5B3D">
        <w:rPr>
          <w:rFonts w:ascii="Arial" w:hAnsi="Arial" w:cs="Arial"/>
          <w:sz w:val="28"/>
          <w:szCs w:val="28"/>
          <w:lang w:val="el-GR"/>
        </w:rPr>
        <w:t xml:space="preserve">  </w:t>
      </w:r>
    </w:p>
    <w:p w14:paraId="4E076498" w14:textId="77777777" w:rsidR="00986B13" w:rsidRDefault="00986B13" w:rsidP="00A72E5E">
      <w:pPr>
        <w:spacing w:after="0" w:line="480" w:lineRule="auto"/>
        <w:jc w:val="both"/>
        <w:rPr>
          <w:rFonts w:ascii="Arial" w:hAnsi="Arial" w:cs="Arial"/>
          <w:sz w:val="28"/>
          <w:szCs w:val="28"/>
          <w:lang w:val="el-GR"/>
        </w:rPr>
      </w:pPr>
    </w:p>
    <w:p w14:paraId="6585DFA2" w14:textId="490423CE" w:rsidR="00A72E5E" w:rsidRPr="00AA5B3D" w:rsidRDefault="00986B13" w:rsidP="00A72E5E">
      <w:pPr>
        <w:spacing w:after="0" w:line="480" w:lineRule="auto"/>
        <w:jc w:val="both"/>
        <w:rPr>
          <w:rFonts w:ascii="Arial" w:hAnsi="Arial" w:cs="Arial"/>
          <w:sz w:val="28"/>
          <w:szCs w:val="28"/>
          <w:lang w:val="el-GR"/>
        </w:rPr>
      </w:pPr>
      <w:r w:rsidRPr="00986B13">
        <w:rPr>
          <w:rFonts w:ascii="Arial" w:hAnsi="Arial" w:cs="Arial"/>
          <w:sz w:val="28"/>
          <w:szCs w:val="28"/>
          <w:lang w:val="el-GR"/>
        </w:rPr>
        <w:t xml:space="preserve">    </w:t>
      </w:r>
      <w:r w:rsidR="00A72E5E">
        <w:rPr>
          <w:rFonts w:ascii="Arial" w:hAnsi="Arial" w:cs="Arial"/>
          <w:sz w:val="28"/>
          <w:szCs w:val="28"/>
          <w:lang w:val="el-GR"/>
        </w:rPr>
        <w:t xml:space="preserve">Στη </w:t>
      </w:r>
      <w:r w:rsidR="00A72E5E" w:rsidRPr="003B3A70">
        <w:rPr>
          <w:rFonts w:ascii="Arial" w:hAnsi="Arial" w:cs="Arial"/>
          <w:b/>
          <w:bCs/>
          <w:i/>
          <w:iCs/>
          <w:sz w:val="28"/>
          <w:szCs w:val="28"/>
          <w:lang w:val="en-US"/>
        </w:rPr>
        <w:t>Yazen</w:t>
      </w:r>
      <w:r w:rsidR="00A72E5E" w:rsidRPr="003B3A70">
        <w:rPr>
          <w:rFonts w:ascii="Arial" w:hAnsi="Arial" w:cs="Arial"/>
          <w:sz w:val="28"/>
          <w:szCs w:val="28"/>
          <w:lang w:val="el-GR"/>
        </w:rPr>
        <w:t xml:space="preserve"> </w:t>
      </w:r>
      <w:r w:rsidR="00A72E5E">
        <w:rPr>
          <w:rFonts w:ascii="Arial" w:hAnsi="Arial" w:cs="Arial"/>
          <w:sz w:val="28"/>
          <w:szCs w:val="28"/>
          <w:lang w:val="el-GR"/>
        </w:rPr>
        <w:t xml:space="preserve"> επιβεβαιώνεται το πρόδηλο, </w:t>
      </w:r>
      <w:r w:rsidR="00A72E5E" w:rsidRPr="003B3A70">
        <w:rPr>
          <w:rFonts w:ascii="Arial" w:hAnsi="Arial" w:cs="Arial"/>
          <w:sz w:val="28"/>
          <w:szCs w:val="28"/>
          <w:lang w:val="el-GR"/>
        </w:rPr>
        <w:t xml:space="preserve">ότι δηλαδή </w:t>
      </w:r>
      <w:r w:rsidR="00A72E5E">
        <w:rPr>
          <w:rFonts w:ascii="Arial" w:hAnsi="Arial" w:cs="Arial"/>
          <w:sz w:val="28"/>
          <w:szCs w:val="28"/>
          <w:lang w:val="el-GR"/>
        </w:rPr>
        <w:t>τ</w:t>
      </w:r>
      <w:r w:rsidR="00A72E5E" w:rsidRPr="003B3A70">
        <w:rPr>
          <w:rFonts w:ascii="Arial" w:hAnsi="Arial" w:cs="Arial"/>
          <w:sz w:val="28"/>
          <w:szCs w:val="28"/>
          <w:lang w:val="el-GR"/>
        </w:rPr>
        <w:t xml:space="preserve">ο υλικό το οποίο κατά το κράτος δικαιολογεί την κράτηση πρέπει να παρέχεται </w:t>
      </w:r>
      <w:r w:rsidR="00A72E5E" w:rsidRPr="003B3A70">
        <w:rPr>
          <w:rFonts w:ascii="Arial" w:hAnsi="Arial" w:cs="Arial"/>
          <w:sz w:val="28"/>
          <w:szCs w:val="28"/>
          <w:lang w:val="el-GR"/>
        </w:rPr>
        <w:lastRenderedPageBreak/>
        <w:t xml:space="preserve">στο Δικαστήριο ώστε να αξιολογείται </w:t>
      </w:r>
      <w:r w:rsidR="00A72E5E">
        <w:rPr>
          <w:rFonts w:ascii="Arial" w:hAnsi="Arial" w:cs="Arial"/>
          <w:sz w:val="28"/>
          <w:szCs w:val="28"/>
          <w:lang w:val="el-GR"/>
        </w:rPr>
        <w:t>διαφορετικά</w:t>
      </w:r>
      <w:r w:rsidR="00A72E5E" w:rsidRPr="003B3A70">
        <w:rPr>
          <w:rFonts w:ascii="Arial" w:hAnsi="Arial" w:cs="Arial"/>
          <w:sz w:val="28"/>
          <w:szCs w:val="28"/>
          <w:lang w:val="el-GR"/>
        </w:rPr>
        <w:t xml:space="preserve"> οι αρμόδιες αρχές θα </w:t>
      </w:r>
      <w:r w:rsidR="00A72E5E">
        <w:rPr>
          <w:rFonts w:ascii="Arial" w:hAnsi="Arial" w:cs="Arial"/>
          <w:sz w:val="28"/>
          <w:szCs w:val="28"/>
          <w:lang w:val="el-GR"/>
        </w:rPr>
        <w:t>παρέμεναν</w:t>
      </w:r>
      <w:r w:rsidR="00A72E5E" w:rsidRPr="003B3A70">
        <w:rPr>
          <w:rFonts w:ascii="Arial" w:hAnsi="Arial" w:cs="Arial"/>
          <w:sz w:val="28"/>
          <w:szCs w:val="28"/>
          <w:lang w:val="el-GR"/>
        </w:rPr>
        <w:t xml:space="preserve"> χωρίς αποτελεσματικό έλεγχο από τα Δικαστήρια</w:t>
      </w:r>
      <w:r w:rsidR="00A72E5E">
        <w:rPr>
          <w:rFonts w:ascii="Arial" w:hAnsi="Arial" w:cs="Arial"/>
          <w:sz w:val="28"/>
          <w:szCs w:val="28"/>
          <w:lang w:val="el-GR"/>
        </w:rPr>
        <w:t>.</w:t>
      </w:r>
      <w:r w:rsidR="00A72E5E" w:rsidRPr="003B3A70">
        <w:rPr>
          <w:rFonts w:ascii="Arial" w:hAnsi="Arial" w:cs="Arial"/>
          <w:sz w:val="28"/>
          <w:szCs w:val="28"/>
          <w:lang w:val="el-GR"/>
        </w:rPr>
        <w:t xml:space="preserve"> </w:t>
      </w:r>
    </w:p>
    <w:p w14:paraId="284E9110" w14:textId="77777777" w:rsidR="007D227B" w:rsidRDefault="007D227B" w:rsidP="007D227B">
      <w:pPr>
        <w:spacing w:after="0" w:line="480" w:lineRule="auto"/>
        <w:jc w:val="both"/>
        <w:rPr>
          <w:rFonts w:ascii="Arial" w:hAnsi="Arial" w:cs="Arial"/>
          <w:sz w:val="28"/>
          <w:szCs w:val="28"/>
          <w:lang w:val="el-GR"/>
        </w:rPr>
      </w:pPr>
    </w:p>
    <w:p w14:paraId="1DFC952D" w14:textId="3203A4D0" w:rsidR="00507757" w:rsidRDefault="003E170E"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Κατά την ακρόαση της Αίτησης παρουσιάστηκε από τη Δημοκρατία αριθμός εγγράφων που έχουν διαβαθμιστεί από το Τμήμα Αρχείου Πληθυσμού και Μετανάστευσης ως απόρρητα. </w:t>
      </w:r>
      <w:r w:rsidR="00507757">
        <w:rPr>
          <w:rFonts w:ascii="Arial" w:hAnsi="Arial" w:cs="Arial"/>
          <w:sz w:val="28"/>
          <w:szCs w:val="28"/>
          <w:lang w:val="el-GR"/>
        </w:rPr>
        <w:t xml:space="preserve"> Ο Αιτητής μέσω του δικηγόρου του δεν επέμενε στην αρχική του </w:t>
      </w:r>
      <w:r w:rsidR="001B1DE7">
        <w:rPr>
          <w:rFonts w:ascii="Arial" w:hAnsi="Arial" w:cs="Arial"/>
          <w:sz w:val="28"/>
          <w:szCs w:val="28"/>
          <w:lang w:val="el-GR"/>
        </w:rPr>
        <w:t>θέση</w:t>
      </w:r>
      <w:r w:rsidR="00507757">
        <w:rPr>
          <w:rFonts w:ascii="Arial" w:hAnsi="Arial" w:cs="Arial"/>
          <w:sz w:val="28"/>
          <w:szCs w:val="28"/>
          <w:lang w:val="el-GR"/>
        </w:rPr>
        <w:t xml:space="preserve"> όπως του αποκαλυφθεί το περιεχόμενο τους.  Το Δικαστήριο έχει διέλθει τα έγγραφα με κάθε προσοχή.  </w:t>
      </w:r>
      <w:r w:rsidR="009213AD">
        <w:rPr>
          <w:rFonts w:ascii="Arial" w:hAnsi="Arial" w:cs="Arial"/>
          <w:sz w:val="28"/>
          <w:szCs w:val="28"/>
          <w:lang w:val="el-GR"/>
        </w:rPr>
        <w:t>Θα αναφερθεί η</w:t>
      </w:r>
      <w:r w:rsidR="00507757">
        <w:rPr>
          <w:rFonts w:ascii="Arial" w:hAnsi="Arial" w:cs="Arial"/>
          <w:sz w:val="28"/>
          <w:szCs w:val="28"/>
          <w:lang w:val="el-GR"/>
        </w:rPr>
        <w:t xml:space="preserve"> ουσία τους, χωρίς βέβαια να αποκαλύπτεται η πηγή των πληροφοριών ή στοιχεία που θα </w:t>
      </w:r>
      <w:r w:rsidR="001B1DE7">
        <w:rPr>
          <w:rFonts w:ascii="Arial" w:hAnsi="Arial" w:cs="Arial"/>
          <w:sz w:val="28"/>
          <w:szCs w:val="28"/>
          <w:lang w:val="el-GR"/>
        </w:rPr>
        <w:t>παρείχαν ενδείξεις για την προέλευση των πληροφοριών.</w:t>
      </w:r>
    </w:p>
    <w:p w14:paraId="04CA5507" w14:textId="77777777" w:rsidR="00507757" w:rsidRDefault="00507757" w:rsidP="006561F7">
      <w:pPr>
        <w:spacing w:after="0" w:line="480" w:lineRule="auto"/>
        <w:jc w:val="both"/>
        <w:rPr>
          <w:rFonts w:ascii="Arial" w:hAnsi="Arial" w:cs="Arial"/>
          <w:sz w:val="28"/>
          <w:szCs w:val="28"/>
          <w:lang w:val="el-GR"/>
        </w:rPr>
      </w:pPr>
    </w:p>
    <w:p w14:paraId="533BC7BC" w14:textId="21D3E766" w:rsidR="003E170E" w:rsidRPr="001B1DE7" w:rsidRDefault="00507757" w:rsidP="006561F7">
      <w:pPr>
        <w:spacing w:after="0" w:line="480" w:lineRule="auto"/>
        <w:jc w:val="both"/>
        <w:rPr>
          <w:rFonts w:ascii="Arial" w:hAnsi="Arial" w:cs="Arial"/>
          <w:sz w:val="28"/>
          <w:szCs w:val="28"/>
          <w:u w:val="single"/>
          <w:lang w:val="el-GR"/>
        </w:rPr>
      </w:pPr>
      <w:r>
        <w:rPr>
          <w:rFonts w:ascii="Arial" w:hAnsi="Arial" w:cs="Arial"/>
          <w:sz w:val="28"/>
          <w:szCs w:val="28"/>
          <w:lang w:val="el-GR"/>
        </w:rPr>
        <w:t xml:space="preserve">    </w:t>
      </w:r>
      <w:r w:rsidR="003E170E">
        <w:rPr>
          <w:rFonts w:ascii="Arial" w:hAnsi="Arial" w:cs="Arial"/>
          <w:sz w:val="28"/>
          <w:szCs w:val="28"/>
          <w:lang w:val="el-GR"/>
        </w:rPr>
        <w:t>Πρόκειται για επιστολή της Αστυνομίας προς την Υπηρεσία Αλλοδαπών και Μετανάστευσης, ημερ. 2.9.2022.  Είναι στη βάση των όσων αναφέρονταν στην επιστολή αυτή που εκδόθηκε το διάταγμα κράτησης του Αιτητή ημερ.5.9.2022, δυνάμει του οποίου και συνελήφθηκε την επομένη.  Σ</w:t>
      </w:r>
      <w:r w:rsidR="005816E0">
        <w:rPr>
          <w:rFonts w:ascii="Arial" w:hAnsi="Arial" w:cs="Arial"/>
          <w:sz w:val="28"/>
          <w:szCs w:val="28"/>
          <w:lang w:val="el-GR"/>
        </w:rPr>
        <w:t>την επιστολή μεταφέρονται όλα τα ουσιώδη στοιχεία μαρτυρίας όπως προκύπτουν από την πρωτογενή πηγή πληροφόρησης της Αστυνομίας</w:t>
      </w:r>
      <w:r w:rsidR="00C93D8E">
        <w:rPr>
          <w:rFonts w:ascii="Arial" w:hAnsi="Arial" w:cs="Arial"/>
          <w:sz w:val="28"/>
          <w:szCs w:val="28"/>
          <w:lang w:val="el-GR"/>
        </w:rPr>
        <w:t>, η οποία επίσης περιλαμβάνεται στα έγγραφα που παρουσιάστηκαν</w:t>
      </w:r>
      <w:r w:rsidR="005816E0">
        <w:rPr>
          <w:rFonts w:ascii="Arial" w:hAnsi="Arial" w:cs="Arial"/>
          <w:sz w:val="28"/>
          <w:szCs w:val="28"/>
          <w:lang w:val="el-GR"/>
        </w:rPr>
        <w:t>.</w:t>
      </w:r>
      <w:r w:rsidR="00C93D8E">
        <w:rPr>
          <w:rFonts w:ascii="Arial" w:hAnsi="Arial" w:cs="Arial"/>
          <w:sz w:val="28"/>
          <w:szCs w:val="28"/>
          <w:lang w:val="el-GR"/>
        </w:rPr>
        <w:t xml:space="preserve">  Η μαρτυρία εμπλέκει τον Αιτητή </w:t>
      </w:r>
      <w:r w:rsidR="00C93D8E">
        <w:rPr>
          <w:rFonts w:ascii="Arial" w:hAnsi="Arial" w:cs="Arial"/>
          <w:sz w:val="28"/>
          <w:szCs w:val="28"/>
          <w:lang w:val="el-GR"/>
        </w:rPr>
        <w:lastRenderedPageBreak/>
        <w:t xml:space="preserve">ως </w:t>
      </w:r>
      <w:r w:rsidR="00082DA7">
        <w:rPr>
          <w:rFonts w:ascii="Arial" w:hAnsi="Arial" w:cs="Arial"/>
          <w:sz w:val="28"/>
          <w:szCs w:val="28"/>
          <w:lang w:val="el-GR"/>
        </w:rPr>
        <w:t>συμμετέχοντα σε</w:t>
      </w:r>
      <w:r w:rsidR="00C93D8E">
        <w:rPr>
          <w:rFonts w:ascii="Arial" w:hAnsi="Arial" w:cs="Arial"/>
          <w:sz w:val="28"/>
          <w:szCs w:val="28"/>
          <w:lang w:val="el-GR"/>
        </w:rPr>
        <w:t xml:space="preserve"> γνωστή τρομοκρατική οργάνωση και ότι </w:t>
      </w:r>
      <w:r w:rsidR="00082DA7">
        <w:rPr>
          <w:rFonts w:ascii="Arial" w:hAnsi="Arial" w:cs="Arial"/>
          <w:sz w:val="28"/>
          <w:szCs w:val="28"/>
          <w:lang w:val="el-GR"/>
        </w:rPr>
        <w:t xml:space="preserve">προηγουμένως </w:t>
      </w:r>
      <w:r w:rsidR="00C93D8E">
        <w:rPr>
          <w:rFonts w:ascii="Arial" w:hAnsi="Arial" w:cs="Arial"/>
          <w:sz w:val="28"/>
          <w:szCs w:val="28"/>
          <w:lang w:val="el-GR"/>
        </w:rPr>
        <w:t xml:space="preserve">ήταν μέλος άλλης επίσης γνωστής τρομοκρατικής οργάνωσης.  </w:t>
      </w:r>
      <w:r w:rsidR="009E13AE">
        <w:rPr>
          <w:rFonts w:ascii="Arial" w:hAnsi="Arial" w:cs="Arial"/>
          <w:sz w:val="28"/>
          <w:szCs w:val="28"/>
          <w:lang w:val="el-GR"/>
        </w:rPr>
        <w:t xml:space="preserve">Ο Αιτητής ανακρίθηκε </w:t>
      </w:r>
      <w:r w:rsidR="001B1DE7">
        <w:rPr>
          <w:rFonts w:ascii="Arial" w:hAnsi="Arial" w:cs="Arial"/>
          <w:sz w:val="28"/>
          <w:szCs w:val="28"/>
          <w:lang w:val="el-GR"/>
        </w:rPr>
        <w:t xml:space="preserve">σχετικά </w:t>
      </w:r>
      <w:r w:rsidR="009E13AE">
        <w:rPr>
          <w:rFonts w:ascii="Arial" w:hAnsi="Arial" w:cs="Arial"/>
          <w:sz w:val="28"/>
          <w:szCs w:val="28"/>
          <w:lang w:val="el-GR"/>
        </w:rPr>
        <w:t xml:space="preserve">από την Αστυνομία την 6.9.2022.  </w:t>
      </w:r>
      <w:r w:rsidR="00612446">
        <w:rPr>
          <w:rFonts w:ascii="Arial" w:hAnsi="Arial" w:cs="Arial"/>
          <w:sz w:val="28"/>
          <w:szCs w:val="28"/>
          <w:lang w:val="el-GR"/>
        </w:rPr>
        <w:t xml:space="preserve">Δεν είναι γνωστό </w:t>
      </w:r>
      <w:r w:rsidR="00986B13">
        <w:rPr>
          <w:rFonts w:ascii="Arial" w:hAnsi="Arial" w:cs="Arial"/>
          <w:sz w:val="28"/>
          <w:szCs w:val="28"/>
          <w:lang w:val="el-GR"/>
        </w:rPr>
        <w:t>κατά πόσο</w:t>
      </w:r>
      <w:r w:rsidR="00612446">
        <w:rPr>
          <w:rFonts w:ascii="Arial" w:hAnsi="Arial" w:cs="Arial"/>
          <w:sz w:val="28"/>
          <w:szCs w:val="28"/>
          <w:lang w:val="el-GR"/>
        </w:rPr>
        <w:t xml:space="preserve"> λεπτομέρειες </w:t>
      </w:r>
      <w:r w:rsidR="00986B13">
        <w:rPr>
          <w:rFonts w:ascii="Arial" w:hAnsi="Arial" w:cs="Arial"/>
          <w:sz w:val="28"/>
          <w:szCs w:val="28"/>
          <w:lang w:val="el-GR"/>
        </w:rPr>
        <w:t xml:space="preserve">της εναντίον του μαρτυρίας </w:t>
      </w:r>
      <w:r w:rsidR="00612446">
        <w:rPr>
          <w:rFonts w:ascii="Arial" w:hAnsi="Arial" w:cs="Arial"/>
          <w:sz w:val="28"/>
          <w:szCs w:val="28"/>
          <w:lang w:val="el-GR"/>
        </w:rPr>
        <w:t xml:space="preserve">είχαν </w:t>
      </w:r>
      <w:r w:rsidR="009E13AE">
        <w:rPr>
          <w:rFonts w:ascii="Arial" w:hAnsi="Arial" w:cs="Arial"/>
          <w:sz w:val="28"/>
          <w:szCs w:val="28"/>
          <w:lang w:val="el-GR"/>
        </w:rPr>
        <w:t>τεθεί υπόψη του</w:t>
      </w:r>
      <w:r w:rsidR="00612446">
        <w:rPr>
          <w:rFonts w:ascii="Arial" w:hAnsi="Arial" w:cs="Arial"/>
          <w:sz w:val="28"/>
          <w:szCs w:val="28"/>
          <w:lang w:val="el-GR"/>
        </w:rPr>
        <w:t>.</w:t>
      </w:r>
    </w:p>
    <w:p w14:paraId="3406EA6D" w14:textId="77777777" w:rsidR="009E13AE" w:rsidRDefault="009E13AE" w:rsidP="006561F7">
      <w:pPr>
        <w:spacing w:after="0" w:line="480" w:lineRule="auto"/>
        <w:jc w:val="both"/>
        <w:rPr>
          <w:rFonts w:ascii="Arial" w:hAnsi="Arial" w:cs="Arial"/>
          <w:sz w:val="28"/>
          <w:szCs w:val="28"/>
          <w:lang w:val="el-GR"/>
        </w:rPr>
      </w:pPr>
    </w:p>
    <w:p w14:paraId="0FBA11E1" w14:textId="6E970A66" w:rsidR="009E13AE" w:rsidRDefault="00082DA7"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Παρουσιάστηκε και δεύτερη επιστολή της Αστυνομίας προς την Υπηρεσία Αλλοδαπών και Μετανάστευσης, ημερ.13.12.2022, στην οποία αναφέρονται νέα στοιχεία μαρτυρία</w:t>
      </w:r>
      <w:r w:rsidR="00C76739">
        <w:rPr>
          <w:rFonts w:ascii="Arial" w:hAnsi="Arial" w:cs="Arial"/>
          <w:sz w:val="28"/>
          <w:szCs w:val="28"/>
          <w:lang w:val="el-GR"/>
        </w:rPr>
        <w:t>ς</w:t>
      </w:r>
      <w:r>
        <w:rPr>
          <w:rFonts w:ascii="Arial" w:hAnsi="Arial" w:cs="Arial"/>
          <w:sz w:val="28"/>
          <w:szCs w:val="28"/>
          <w:lang w:val="el-GR"/>
        </w:rPr>
        <w:t xml:space="preserve"> που </w:t>
      </w:r>
      <w:r w:rsidR="00986B13">
        <w:rPr>
          <w:rFonts w:ascii="Arial" w:hAnsi="Arial" w:cs="Arial"/>
          <w:sz w:val="28"/>
          <w:szCs w:val="28"/>
          <w:lang w:val="el-GR"/>
        </w:rPr>
        <w:t>συμπληρωματικά παρασχέθηκαν από την</w:t>
      </w:r>
      <w:r>
        <w:rPr>
          <w:rFonts w:ascii="Arial" w:hAnsi="Arial" w:cs="Arial"/>
          <w:sz w:val="28"/>
          <w:szCs w:val="28"/>
          <w:lang w:val="el-GR"/>
        </w:rPr>
        <w:t xml:space="preserve"> ίδια πηγή.  </w:t>
      </w:r>
      <w:r w:rsidR="009E13AE">
        <w:rPr>
          <w:rFonts w:ascii="Arial" w:hAnsi="Arial" w:cs="Arial"/>
          <w:sz w:val="28"/>
          <w:szCs w:val="28"/>
          <w:lang w:val="el-GR"/>
        </w:rPr>
        <w:t xml:space="preserve">Ο Αιτητής ανακρίθηκε εκ νέου από την Αστυνομία την 7.11.2022 </w:t>
      </w:r>
      <w:r w:rsidR="00612446">
        <w:rPr>
          <w:rFonts w:ascii="Arial" w:hAnsi="Arial" w:cs="Arial"/>
          <w:sz w:val="28"/>
          <w:szCs w:val="28"/>
          <w:lang w:val="el-GR"/>
        </w:rPr>
        <w:t xml:space="preserve">αρνούμενος ότι έχει </w:t>
      </w:r>
      <w:r w:rsidR="00986B13">
        <w:rPr>
          <w:rFonts w:ascii="Arial" w:hAnsi="Arial" w:cs="Arial"/>
          <w:sz w:val="28"/>
          <w:szCs w:val="28"/>
          <w:lang w:val="el-GR"/>
        </w:rPr>
        <w:t xml:space="preserve">οιαδήποτε </w:t>
      </w:r>
      <w:r w:rsidR="00612446">
        <w:rPr>
          <w:rFonts w:ascii="Arial" w:hAnsi="Arial" w:cs="Arial"/>
          <w:sz w:val="28"/>
          <w:szCs w:val="28"/>
          <w:lang w:val="el-GR"/>
        </w:rPr>
        <w:t>σχέση με την τρομοκρατία</w:t>
      </w:r>
      <w:r w:rsidR="009E13AE">
        <w:rPr>
          <w:rFonts w:ascii="Arial" w:hAnsi="Arial" w:cs="Arial"/>
          <w:sz w:val="28"/>
          <w:szCs w:val="28"/>
          <w:lang w:val="el-GR"/>
        </w:rPr>
        <w:t>.</w:t>
      </w:r>
    </w:p>
    <w:p w14:paraId="0F69D407" w14:textId="77777777" w:rsidR="00612446" w:rsidRDefault="00612446" w:rsidP="006561F7">
      <w:pPr>
        <w:spacing w:after="0" w:line="480" w:lineRule="auto"/>
        <w:jc w:val="both"/>
        <w:rPr>
          <w:rFonts w:ascii="Arial" w:hAnsi="Arial" w:cs="Arial"/>
          <w:sz w:val="28"/>
          <w:szCs w:val="28"/>
          <w:lang w:val="el-GR"/>
        </w:rPr>
      </w:pPr>
    </w:p>
    <w:p w14:paraId="2A8326BA" w14:textId="3376DC0C" w:rsidR="007146FE" w:rsidRDefault="00AA5B3D"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7146FE">
        <w:rPr>
          <w:rFonts w:ascii="Arial" w:hAnsi="Arial" w:cs="Arial"/>
          <w:sz w:val="28"/>
          <w:szCs w:val="28"/>
          <w:lang w:val="el-GR"/>
        </w:rPr>
        <w:t xml:space="preserve">Προκύπτει πως δεν έχουν γίνει, τουλάχιστο δεν έχει μαρτυρηθεί ότι έγιναν, οιεσδήποτε ενέργειες εκ μέρους των αρχών για την επαλήθευση </w:t>
      </w:r>
      <w:r w:rsidR="001455E3">
        <w:rPr>
          <w:rFonts w:ascii="Arial" w:hAnsi="Arial" w:cs="Arial"/>
          <w:sz w:val="28"/>
          <w:szCs w:val="28"/>
          <w:lang w:val="el-GR"/>
        </w:rPr>
        <w:t>των πληροφοριών</w:t>
      </w:r>
      <w:r w:rsidR="007146FE">
        <w:rPr>
          <w:rFonts w:ascii="Arial" w:hAnsi="Arial" w:cs="Arial"/>
          <w:sz w:val="28"/>
          <w:szCs w:val="28"/>
          <w:lang w:val="el-GR"/>
        </w:rPr>
        <w:t xml:space="preserve"> </w:t>
      </w:r>
      <w:r w:rsidR="00612446">
        <w:rPr>
          <w:rFonts w:ascii="Arial" w:hAnsi="Arial" w:cs="Arial"/>
          <w:sz w:val="28"/>
          <w:szCs w:val="28"/>
          <w:lang w:val="el-GR"/>
        </w:rPr>
        <w:t>αναφορικά με</w:t>
      </w:r>
      <w:r w:rsidR="007146FE">
        <w:rPr>
          <w:rFonts w:ascii="Arial" w:hAnsi="Arial" w:cs="Arial"/>
          <w:sz w:val="28"/>
          <w:szCs w:val="28"/>
          <w:lang w:val="el-GR"/>
        </w:rPr>
        <w:t xml:space="preserve"> τον Αιτητή.  Εφόσον </w:t>
      </w:r>
      <w:r w:rsidR="00FE1EFC">
        <w:rPr>
          <w:rFonts w:ascii="Arial" w:hAnsi="Arial" w:cs="Arial"/>
          <w:sz w:val="28"/>
          <w:szCs w:val="28"/>
          <w:lang w:val="el-GR"/>
        </w:rPr>
        <w:t xml:space="preserve">την 12.12.2022 </w:t>
      </w:r>
      <w:r w:rsidR="007146FE">
        <w:rPr>
          <w:rFonts w:ascii="Arial" w:hAnsi="Arial" w:cs="Arial"/>
          <w:sz w:val="28"/>
          <w:szCs w:val="28"/>
          <w:lang w:val="el-GR"/>
        </w:rPr>
        <w:t xml:space="preserve">ζητήθηκε η άποψη του Γενικού Εισαγγελέα κατά πόσο στη βάση της μαρτυρίας των σχετικών πληροφοριών, </w:t>
      </w:r>
      <w:r w:rsidR="00FE1EFC">
        <w:rPr>
          <w:rFonts w:ascii="Arial" w:hAnsi="Arial" w:cs="Arial"/>
          <w:sz w:val="28"/>
          <w:szCs w:val="28"/>
          <w:lang w:val="el-GR"/>
        </w:rPr>
        <w:t xml:space="preserve">στοιχειοθετείτο οποιοδήποτε αδίκημα για προσαγωγή του Αιτητή ενώπιον της δικαιοσύνης για παράβαση του </w:t>
      </w:r>
      <w:r w:rsidR="00FE1EFC" w:rsidRPr="00986B13">
        <w:rPr>
          <w:rFonts w:ascii="Arial" w:hAnsi="Arial" w:cs="Arial"/>
          <w:b/>
          <w:bCs/>
          <w:i/>
          <w:iCs/>
          <w:sz w:val="28"/>
          <w:szCs w:val="28"/>
          <w:lang w:val="el-GR"/>
        </w:rPr>
        <w:t xml:space="preserve">περί Πρόληψης της Τρομοκρατίας </w:t>
      </w:r>
      <w:r w:rsidR="00FE1EFC" w:rsidRPr="00986B13">
        <w:rPr>
          <w:rFonts w:ascii="Arial" w:hAnsi="Arial" w:cs="Arial"/>
          <w:b/>
          <w:bCs/>
          <w:i/>
          <w:iCs/>
          <w:sz w:val="28"/>
          <w:szCs w:val="28"/>
          <w:lang w:val="el-GR"/>
        </w:rPr>
        <w:lastRenderedPageBreak/>
        <w:t>Νόμου του 2019, Ν.75(Ι)/2019</w:t>
      </w:r>
      <w:r w:rsidR="00FE1EFC">
        <w:rPr>
          <w:rFonts w:ascii="Arial" w:hAnsi="Arial" w:cs="Arial"/>
          <w:sz w:val="28"/>
          <w:szCs w:val="28"/>
          <w:lang w:val="el-GR"/>
        </w:rPr>
        <w:t xml:space="preserve">, </w:t>
      </w:r>
      <w:r w:rsidR="007146FE">
        <w:rPr>
          <w:rFonts w:ascii="Arial" w:hAnsi="Arial" w:cs="Arial"/>
          <w:sz w:val="28"/>
          <w:szCs w:val="28"/>
          <w:lang w:val="el-GR"/>
        </w:rPr>
        <w:t xml:space="preserve">προδήλως δεν υφίστατο κάτι άλλο που να ενίσχυε </w:t>
      </w:r>
      <w:r w:rsidR="00FE1EFC">
        <w:rPr>
          <w:rFonts w:ascii="Arial" w:hAnsi="Arial" w:cs="Arial"/>
          <w:sz w:val="28"/>
          <w:szCs w:val="28"/>
          <w:lang w:val="el-GR"/>
        </w:rPr>
        <w:t>τις πληροφορίες που εμπεριέχονται στις δύο επιστολές της Αστυνομίας.</w:t>
      </w:r>
      <w:r w:rsidR="007146FE">
        <w:rPr>
          <w:rFonts w:ascii="Arial" w:hAnsi="Arial" w:cs="Arial"/>
          <w:sz w:val="28"/>
          <w:szCs w:val="28"/>
          <w:lang w:val="el-GR"/>
        </w:rPr>
        <w:t xml:space="preserve"> </w:t>
      </w:r>
    </w:p>
    <w:p w14:paraId="6AE2548B" w14:textId="77777777" w:rsidR="00235840" w:rsidRDefault="00235840" w:rsidP="006561F7">
      <w:pPr>
        <w:spacing w:after="0" w:line="480" w:lineRule="auto"/>
        <w:jc w:val="both"/>
        <w:rPr>
          <w:rFonts w:ascii="Arial" w:hAnsi="Arial" w:cs="Arial"/>
          <w:sz w:val="28"/>
          <w:szCs w:val="28"/>
          <w:lang w:val="el-GR"/>
        </w:rPr>
      </w:pPr>
    </w:p>
    <w:p w14:paraId="630729AC" w14:textId="356F200F" w:rsidR="00EA3E6A" w:rsidRDefault="00235840"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Αναφέρεται στην ένορκη δήλωση του λειτουργού του Τμήματος Αρχείου Πληθυσμού και Μετανάστευσης ότι «</w:t>
      </w:r>
      <w:r w:rsidRPr="00235840">
        <w:rPr>
          <w:rFonts w:ascii="Arial" w:hAnsi="Arial" w:cs="Arial"/>
          <w:i/>
          <w:iCs/>
          <w:sz w:val="28"/>
          <w:szCs w:val="28"/>
          <w:lang w:val="el-GR"/>
        </w:rPr>
        <w:t>οι διοικητικές διαδικασίες που συνδέονται με τον λόγο κράτησης του Αιτητή προχωρούν και εκτελούνται με τη δέουσα επιμέλεια χωρίς οποιαδήποτε καθυστέρηση</w:t>
      </w:r>
      <w:r>
        <w:rPr>
          <w:rFonts w:ascii="Arial" w:hAnsi="Arial" w:cs="Arial"/>
          <w:sz w:val="28"/>
          <w:szCs w:val="28"/>
          <w:lang w:val="el-GR"/>
        </w:rPr>
        <w:t>»</w:t>
      </w:r>
      <w:r w:rsidR="004E708F">
        <w:rPr>
          <w:rFonts w:ascii="Arial" w:hAnsi="Arial" w:cs="Arial"/>
          <w:sz w:val="28"/>
          <w:szCs w:val="28"/>
          <w:lang w:val="el-GR"/>
        </w:rPr>
        <w:t>, ωστόσο αυτή η τοποθέτηση δεν θεμελιώνεται επί μαρτυρίας αναφορικά με το τι έχει γίνει.  Αντίθετα, το υπόβαθρο για αυτή την τοποθέτηση, ότι «</w:t>
      </w:r>
      <w:r w:rsidR="004E708F" w:rsidRPr="004E708F">
        <w:rPr>
          <w:rFonts w:ascii="Arial" w:hAnsi="Arial" w:cs="Arial"/>
          <w:i/>
          <w:iCs/>
          <w:sz w:val="28"/>
          <w:szCs w:val="28"/>
          <w:lang w:val="el-GR"/>
        </w:rPr>
        <w:t>αφού … η κράτηση του Αιτητή τυγχάνει συνεχούς επανεξέτασης</w:t>
      </w:r>
      <w:r w:rsidR="004E708F">
        <w:rPr>
          <w:rFonts w:ascii="Arial" w:hAnsi="Arial" w:cs="Arial"/>
          <w:sz w:val="28"/>
          <w:szCs w:val="28"/>
          <w:lang w:val="el-GR"/>
        </w:rPr>
        <w:t>», επιβεβαιώνει ότι τίποτε δεν έγινε.</w:t>
      </w:r>
      <w:r>
        <w:rPr>
          <w:rFonts w:ascii="Arial" w:hAnsi="Arial" w:cs="Arial"/>
          <w:sz w:val="28"/>
          <w:szCs w:val="28"/>
          <w:lang w:val="el-GR"/>
        </w:rPr>
        <w:t xml:space="preserve">  </w:t>
      </w:r>
      <w:r w:rsidR="004E708F">
        <w:rPr>
          <w:rFonts w:ascii="Arial" w:hAnsi="Arial" w:cs="Arial"/>
          <w:sz w:val="28"/>
          <w:szCs w:val="28"/>
          <w:lang w:val="el-GR"/>
        </w:rPr>
        <w:t xml:space="preserve"> Και αυτό γιατί από τα σχετικά έγγραφα επανεξέτασης</w:t>
      </w:r>
      <w:r w:rsidR="00EA3E6A">
        <w:rPr>
          <w:rFonts w:ascii="Arial" w:hAnsi="Arial" w:cs="Arial"/>
          <w:sz w:val="28"/>
          <w:szCs w:val="28"/>
          <w:lang w:val="el-GR"/>
        </w:rPr>
        <w:t xml:space="preserve"> (ημερ.11.11.2022, 17.1.2023, 17.3.2023, 17.5.2023 και στο σημείωμα ημερ. 24.7.2023) π</w:t>
      </w:r>
      <w:r w:rsidR="004E708F">
        <w:rPr>
          <w:rFonts w:ascii="Arial" w:hAnsi="Arial" w:cs="Arial"/>
          <w:sz w:val="28"/>
          <w:szCs w:val="28"/>
          <w:lang w:val="el-GR"/>
        </w:rPr>
        <w:t xml:space="preserve">ροκύπτει ότι η επανεξέταση συνίστατο σε </w:t>
      </w:r>
      <w:r w:rsidR="00FF2C2A">
        <w:rPr>
          <w:rFonts w:ascii="Arial" w:hAnsi="Arial" w:cs="Arial"/>
          <w:sz w:val="28"/>
          <w:szCs w:val="28"/>
          <w:lang w:val="el-GR"/>
        </w:rPr>
        <w:t>επανάληψη</w:t>
      </w:r>
      <w:r w:rsidR="004E708F">
        <w:rPr>
          <w:rFonts w:ascii="Arial" w:hAnsi="Arial" w:cs="Arial"/>
          <w:sz w:val="28"/>
          <w:szCs w:val="28"/>
          <w:lang w:val="el-GR"/>
        </w:rPr>
        <w:t xml:space="preserve"> των ιδίων πληροφοριών </w:t>
      </w:r>
      <w:r w:rsidR="00FF2C2A">
        <w:rPr>
          <w:rFonts w:ascii="Arial" w:hAnsi="Arial" w:cs="Arial"/>
          <w:sz w:val="28"/>
          <w:szCs w:val="28"/>
          <w:lang w:val="el-GR"/>
        </w:rPr>
        <w:t>με</w:t>
      </w:r>
      <w:r w:rsidR="004E708F">
        <w:rPr>
          <w:rFonts w:ascii="Arial" w:hAnsi="Arial" w:cs="Arial"/>
          <w:sz w:val="28"/>
          <w:szCs w:val="28"/>
          <w:lang w:val="el-GR"/>
        </w:rPr>
        <w:t xml:space="preserve"> παραπομπή στις δύο επιστολές της Αστυνομίας.  Δεν φαίνεται να έγινε οτιδήποτε για να εξακριβωθεί κατά πόσο οι πληροφορίες για τον Αιτητή περιγράφουν την αλήθεια, </w:t>
      </w:r>
      <w:r w:rsidR="00FF2C2A">
        <w:rPr>
          <w:rFonts w:ascii="Arial" w:hAnsi="Arial" w:cs="Arial"/>
          <w:sz w:val="28"/>
          <w:szCs w:val="28"/>
          <w:lang w:val="el-GR"/>
        </w:rPr>
        <w:t xml:space="preserve">αλλά </w:t>
      </w:r>
      <w:r w:rsidR="004E708F">
        <w:rPr>
          <w:rFonts w:ascii="Arial" w:hAnsi="Arial" w:cs="Arial"/>
          <w:sz w:val="28"/>
          <w:szCs w:val="28"/>
          <w:lang w:val="el-GR"/>
        </w:rPr>
        <w:t xml:space="preserve">ούτε </w:t>
      </w:r>
      <w:r w:rsidR="00FF2C2A">
        <w:rPr>
          <w:rFonts w:ascii="Arial" w:hAnsi="Arial" w:cs="Arial"/>
          <w:sz w:val="28"/>
          <w:szCs w:val="28"/>
          <w:lang w:val="el-GR"/>
        </w:rPr>
        <w:t xml:space="preserve">και </w:t>
      </w:r>
      <w:r w:rsidR="004E708F">
        <w:rPr>
          <w:rFonts w:ascii="Arial" w:hAnsi="Arial" w:cs="Arial"/>
          <w:sz w:val="28"/>
          <w:szCs w:val="28"/>
          <w:lang w:val="el-GR"/>
        </w:rPr>
        <w:t>υπάρχει εκτίμηση η κρίση αναφορικά με την αξιοπιστία της πηγής</w:t>
      </w:r>
      <w:r w:rsidR="00FF2C2A">
        <w:rPr>
          <w:rFonts w:ascii="Arial" w:hAnsi="Arial" w:cs="Arial"/>
          <w:sz w:val="28"/>
          <w:szCs w:val="28"/>
          <w:lang w:val="el-GR"/>
        </w:rPr>
        <w:t>, που να σηματοδοτεί την κατάληξη της διοίκησης.</w:t>
      </w:r>
    </w:p>
    <w:p w14:paraId="3CE1CF73" w14:textId="032DB073" w:rsidR="00EA3E6A" w:rsidRDefault="00EA3E6A" w:rsidP="006561F7">
      <w:pPr>
        <w:spacing w:after="0" w:line="480" w:lineRule="auto"/>
        <w:jc w:val="both"/>
        <w:rPr>
          <w:rFonts w:ascii="Arial" w:hAnsi="Arial" w:cs="Arial"/>
          <w:sz w:val="28"/>
          <w:szCs w:val="28"/>
          <w:lang w:val="el-GR"/>
        </w:rPr>
      </w:pPr>
      <w:r>
        <w:rPr>
          <w:rFonts w:ascii="Arial" w:hAnsi="Arial" w:cs="Arial"/>
          <w:sz w:val="28"/>
          <w:szCs w:val="28"/>
          <w:lang w:val="el-GR"/>
        </w:rPr>
        <w:lastRenderedPageBreak/>
        <w:t xml:space="preserve">    Στο έγγραφο επαναξιολόγησης που έγινε την 17.3.2023 αναφέρεται ότι το Τμήμα Αρχείου Πληθυσμού και Μετανάστευσης απέστειλε απόρρητη επιστολή ημερ.5.1.2023 στον Αρχηγό της Αστυνομίας ζητώντας ενημέρωση για την πορεία των ερευνών σχετικά με τον Αιτητή.  Η αναφορά επαναλαμβάνεται στην επόμενη επαναξιολόγηση ημερ.17.5.2023.  Δεν υπήρξε απάντηση γιατί αποστάλθηκε και νέα επιστολή στον Αρχηγό της Αστυνομίας την 17.7.2023 ζητώντας εκ νέου ενημέρωση για την πορεία των ερευνών.  Δεν έχει παρουσιαστεί κάποια απάντηση, ούτε αναφέρθηκε ότι υπήρξε ενημέρωση.</w:t>
      </w:r>
    </w:p>
    <w:p w14:paraId="0C1D902C" w14:textId="77777777" w:rsidR="00EA6C8A" w:rsidRDefault="00EA6C8A" w:rsidP="006561F7">
      <w:pPr>
        <w:spacing w:after="0" w:line="480" w:lineRule="auto"/>
        <w:jc w:val="both"/>
        <w:rPr>
          <w:rFonts w:ascii="Arial" w:hAnsi="Arial" w:cs="Arial"/>
          <w:sz w:val="28"/>
          <w:szCs w:val="28"/>
          <w:lang w:val="el-GR"/>
        </w:rPr>
      </w:pPr>
    </w:p>
    <w:p w14:paraId="5787EC46" w14:textId="3184805A" w:rsidR="00532B7F" w:rsidRDefault="00BA18E4"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4B4085">
        <w:rPr>
          <w:rFonts w:ascii="Arial" w:hAnsi="Arial" w:cs="Arial"/>
          <w:sz w:val="28"/>
          <w:szCs w:val="28"/>
          <w:lang w:val="el-GR"/>
        </w:rPr>
        <w:t xml:space="preserve">Ούτε σε σχέση με το αίτημα του Αιτητή για διεθνή προστασία έχει αναφερθεί </w:t>
      </w:r>
      <w:r w:rsidR="00EC0BDF">
        <w:rPr>
          <w:rFonts w:ascii="Arial" w:hAnsi="Arial" w:cs="Arial"/>
          <w:sz w:val="28"/>
          <w:szCs w:val="28"/>
          <w:lang w:val="el-GR"/>
        </w:rPr>
        <w:t xml:space="preserve">ότι </w:t>
      </w:r>
      <w:r w:rsidR="00FF2C2A">
        <w:rPr>
          <w:rFonts w:ascii="Arial" w:hAnsi="Arial" w:cs="Arial"/>
          <w:sz w:val="28"/>
          <w:szCs w:val="28"/>
          <w:lang w:val="el-GR"/>
        </w:rPr>
        <w:t>έγινε οιαδήποτε ενέργεια</w:t>
      </w:r>
      <w:r w:rsidR="004B4085">
        <w:rPr>
          <w:rFonts w:ascii="Arial" w:hAnsi="Arial" w:cs="Arial"/>
          <w:sz w:val="28"/>
          <w:szCs w:val="28"/>
          <w:lang w:val="el-GR"/>
        </w:rPr>
        <w:t>.</w:t>
      </w:r>
      <w:r w:rsidR="004E708F">
        <w:rPr>
          <w:rFonts w:ascii="Arial" w:hAnsi="Arial" w:cs="Arial"/>
          <w:sz w:val="28"/>
          <w:szCs w:val="28"/>
          <w:lang w:val="el-GR"/>
        </w:rPr>
        <w:t xml:space="preserve"> </w:t>
      </w:r>
      <w:r w:rsidR="00EC0BDF">
        <w:rPr>
          <w:rFonts w:ascii="Arial" w:hAnsi="Arial" w:cs="Arial"/>
          <w:sz w:val="28"/>
          <w:szCs w:val="28"/>
          <w:lang w:val="el-GR"/>
        </w:rPr>
        <w:t xml:space="preserve"> Από το περιεχόμενο σημειώματος λειτουργού μετανάστευσης</w:t>
      </w:r>
      <w:r w:rsidR="00EC0BDF" w:rsidRPr="00EC0BDF">
        <w:rPr>
          <w:rFonts w:ascii="Arial" w:hAnsi="Arial" w:cs="Arial"/>
          <w:sz w:val="28"/>
          <w:szCs w:val="28"/>
          <w:lang w:val="el-GR"/>
        </w:rPr>
        <w:t xml:space="preserve"> </w:t>
      </w:r>
      <w:r w:rsidR="00EC0BDF">
        <w:rPr>
          <w:rFonts w:ascii="Arial" w:hAnsi="Arial" w:cs="Arial"/>
          <w:sz w:val="28"/>
          <w:szCs w:val="28"/>
          <w:lang w:val="el-GR"/>
        </w:rPr>
        <w:t>ημερ.19.7.2023 προκύπτει ότι ο Αιτητής ήταν υποψήφιος για το πρόγραμμα επανεγκατάστασης (</w:t>
      </w:r>
      <w:r w:rsidR="00EC0BDF">
        <w:rPr>
          <w:rFonts w:ascii="Arial" w:hAnsi="Arial" w:cs="Arial"/>
          <w:sz w:val="28"/>
          <w:szCs w:val="28"/>
          <w:lang w:val="en-US"/>
        </w:rPr>
        <w:t>relocation</w:t>
      </w:r>
      <w:r w:rsidR="00EC0BDF" w:rsidRPr="00EC0BDF">
        <w:rPr>
          <w:rFonts w:ascii="Arial" w:hAnsi="Arial" w:cs="Arial"/>
          <w:sz w:val="28"/>
          <w:szCs w:val="28"/>
          <w:lang w:val="el-GR"/>
        </w:rPr>
        <w:t>)</w:t>
      </w:r>
      <w:r w:rsidR="00EC0BDF">
        <w:rPr>
          <w:rFonts w:ascii="Arial" w:hAnsi="Arial" w:cs="Arial"/>
          <w:sz w:val="28"/>
          <w:szCs w:val="28"/>
          <w:lang w:val="el-GR"/>
        </w:rPr>
        <w:t xml:space="preserve"> για να μεταφερθεί σε άλλη χώρα.</w:t>
      </w:r>
      <w:r w:rsidR="00FE1EFC">
        <w:rPr>
          <w:rFonts w:ascii="Arial" w:hAnsi="Arial" w:cs="Arial"/>
          <w:sz w:val="28"/>
          <w:szCs w:val="28"/>
          <w:lang w:val="el-GR"/>
        </w:rPr>
        <w:t xml:space="preserve">  Η Υπηρεσία Ασύλου</w:t>
      </w:r>
      <w:r w:rsidR="00FF2C2A">
        <w:rPr>
          <w:rFonts w:ascii="Arial" w:hAnsi="Arial" w:cs="Arial"/>
          <w:sz w:val="28"/>
          <w:szCs w:val="28"/>
          <w:lang w:val="el-GR"/>
        </w:rPr>
        <w:t>, ΥΠΑΣ,</w:t>
      </w:r>
      <w:r w:rsidR="00FE1EFC">
        <w:rPr>
          <w:rFonts w:ascii="Arial" w:hAnsi="Arial" w:cs="Arial"/>
          <w:sz w:val="28"/>
          <w:szCs w:val="28"/>
          <w:lang w:val="el-GR"/>
        </w:rPr>
        <w:t xml:space="preserve"> είχε ενημερώσει ότι θα εξέταζε άμεσα το θέμα</w:t>
      </w:r>
      <w:r w:rsidR="00FF2C2A">
        <w:rPr>
          <w:rFonts w:ascii="Arial" w:hAnsi="Arial" w:cs="Arial"/>
          <w:sz w:val="28"/>
          <w:szCs w:val="28"/>
          <w:lang w:val="el-GR"/>
        </w:rPr>
        <w:t>, ωστόσο, δ</w:t>
      </w:r>
      <w:r w:rsidR="00FE1EFC">
        <w:rPr>
          <w:rFonts w:ascii="Arial" w:hAnsi="Arial" w:cs="Arial"/>
          <w:sz w:val="28"/>
          <w:szCs w:val="28"/>
          <w:lang w:val="el-GR"/>
        </w:rPr>
        <w:t>εν υπάρχει ενημέρωση</w:t>
      </w:r>
      <w:r w:rsidR="00FF2C2A">
        <w:rPr>
          <w:rFonts w:ascii="Arial" w:hAnsi="Arial" w:cs="Arial"/>
          <w:sz w:val="28"/>
          <w:szCs w:val="28"/>
          <w:lang w:val="el-GR"/>
        </w:rPr>
        <w:t xml:space="preserve"> για οιεσδήποτε ενέργειες</w:t>
      </w:r>
      <w:r w:rsidR="00FE1EFC">
        <w:rPr>
          <w:rFonts w:ascii="Arial" w:hAnsi="Arial" w:cs="Arial"/>
          <w:sz w:val="28"/>
          <w:szCs w:val="28"/>
          <w:lang w:val="el-GR"/>
        </w:rPr>
        <w:t>.</w:t>
      </w:r>
      <w:r w:rsidR="00EC0BDF">
        <w:rPr>
          <w:rFonts w:ascii="Arial" w:hAnsi="Arial" w:cs="Arial"/>
          <w:sz w:val="28"/>
          <w:szCs w:val="28"/>
          <w:lang w:val="el-GR"/>
        </w:rPr>
        <w:t xml:space="preserve">  Η εισήγηση της </w:t>
      </w:r>
      <w:r w:rsidR="00FF2C2A">
        <w:rPr>
          <w:rFonts w:ascii="Arial" w:hAnsi="Arial" w:cs="Arial"/>
          <w:sz w:val="28"/>
          <w:szCs w:val="28"/>
          <w:lang w:val="el-GR"/>
        </w:rPr>
        <w:t xml:space="preserve">αρμόδιας </w:t>
      </w:r>
      <w:r w:rsidR="00EC0BDF">
        <w:rPr>
          <w:rFonts w:ascii="Arial" w:hAnsi="Arial" w:cs="Arial"/>
          <w:sz w:val="28"/>
          <w:szCs w:val="28"/>
          <w:lang w:val="el-GR"/>
        </w:rPr>
        <w:t>λειτουργού για να παραταθεί η κράτηση του «</w:t>
      </w:r>
      <w:r w:rsidR="00EC0BDF" w:rsidRPr="00EC0BDF">
        <w:rPr>
          <w:rFonts w:ascii="Arial" w:hAnsi="Arial" w:cs="Arial"/>
          <w:i/>
          <w:iCs/>
          <w:sz w:val="28"/>
          <w:szCs w:val="28"/>
          <w:lang w:val="el-GR"/>
        </w:rPr>
        <w:t>για περίοδο που δεν θα ξεπερνά τους 18 μήνες</w:t>
      </w:r>
      <w:r w:rsidR="00EC0BDF">
        <w:rPr>
          <w:rFonts w:ascii="Arial" w:hAnsi="Arial" w:cs="Arial"/>
          <w:sz w:val="28"/>
          <w:szCs w:val="28"/>
          <w:lang w:val="el-GR"/>
        </w:rPr>
        <w:t xml:space="preserve">», δεν γίνεται κατανοητή που στοχεύει </w:t>
      </w:r>
      <w:r w:rsidR="00FF2C2A">
        <w:rPr>
          <w:rFonts w:ascii="Arial" w:hAnsi="Arial" w:cs="Arial"/>
          <w:sz w:val="28"/>
          <w:szCs w:val="28"/>
          <w:lang w:val="el-GR"/>
        </w:rPr>
        <w:t>και το κυριότερο,</w:t>
      </w:r>
      <w:r w:rsidR="00EC0BDF">
        <w:rPr>
          <w:rFonts w:ascii="Arial" w:hAnsi="Arial" w:cs="Arial"/>
          <w:sz w:val="28"/>
          <w:szCs w:val="28"/>
          <w:lang w:val="el-GR"/>
        </w:rPr>
        <w:t xml:space="preserve"> τι θα συμβεί τότε.</w:t>
      </w:r>
      <w:r w:rsidR="00EC0BDF" w:rsidRPr="00EC0BDF">
        <w:rPr>
          <w:rFonts w:ascii="Arial" w:hAnsi="Arial" w:cs="Arial"/>
          <w:sz w:val="28"/>
          <w:szCs w:val="28"/>
          <w:lang w:val="el-GR"/>
        </w:rPr>
        <w:t xml:space="preserve"> </w:t>
      </w:r>
      <w:r w:rsidR="00EC0BDF">
        <w:rPr>
          <w:rFonts w:ascii="Arial" w:hAnsi="Arial" w:cs="Arial"/>
          <w:sz w:val="28"/>
          <w:szCs w:val="28"/>
          <w:lang w:val="el-GR"/>
        </w:rPr>
        <w:t xml:space="preserve"> Σε αυτή τη βάση είναι που </w:t>
      </w:r>
      <w:r w:rsidR="00EC0BDF">
        <w:rPr>
          <w:rFonts w:ascii="Arial" w:hAnsi="Arial" w:cs="Arial"/>
          <w:sz w:val="28"/>
          <w:szCs w:val="28"/>
          <w:lang w:val="el-GR"/>
        </w:rPr>
        <w:lastRenderedPageBreak/>
        <w:t>η συνέχιση της κράτησης του «</w:t>
      </w:r>
      <w:r w:rsidR="00EC0BDF" w:rsidRPr="00EC0BDF">
        <w:rPr>
          <w:rFonts w:ascii="Arial" w:hAnsi="Arial" w:cs="Arial"/>
          <w:i/>
          <w:iCs/>
          <w:sz w:val="28"/>
          <w:szCs w:val="28"/>
          <w:lang w:val="el-GR"/>
        </w:rPr>
        <w:t>εγκρίθηκε</w:t>
      </w:r>
      <w:r w:rsidR="00EC0BDF">
        <w:rPr>
          <w:rFonts w:ascii="Arial" w:hAnsi="Arial" w:cs="Arial"/>
          <w:sz w:val="28"/>
          <w:szCs w:val="28"/>
          <w:lang w:val="el-GR"/>
        </w:rPr>
        <w:t>», όπως αναφέρεται την 24.7.2023.</w:t>
      </w:r>
      <w:r w:rsidR="00EA6C8A">
        <w:rPr>
          <w:rFonts w:ascii="Arial" w:hAnsi="Arial" w:cs="Arial"/>
          <w:sz w:val="28"/>
          <w:szCs w:val="28"/>
          <w:lang w:val="el-GR"/>
        </w:rPr>
        <w:t xml:space="preserve">  Στην αγόρευση της Δημοκρατίας αναφέρεται ότι θα παρουσιαζόταν ο διοικητικός φάκελος της ΥΠΑΣ το περιεχόμενο του οποίου θα υποστήριζε τη νομιμότητα της διάρκειας της κράτησης του Αιτητή, όμως </w:t>
      </w:r>
      <w:r w:rsidR="00FF2C2A">
        <w:rPr>
          <w:rFonts w:ascii="Arial" w:hAnsi="Arial" w:cs="Arial"/>
          <w:sz w:val="28"/>
          <w:szCs w:val="28"/>
          <w:lang w:val="el-GR"/>
        </w:rPr>
        <w:t>τέτοια μαρτυρία δεν τέθηκε ενώπιον του Δικαστηρίου</w:t>
      </w:r>
      <w:r w:rsidR="00EA6C8A">
        <w:rPr>
          <w:rFonts w:ascii="Arial" w:hAnsi="Arial" w:cs="Arial"/>
          <w:sz w:val="28"/>
          <w:szCs w:val="28"/>
          <w:lang w:val="el-GR"/>
        </w:rPr>
        <w:t>.</w:t>
      </w:r>
    </w:p>
    <w:p w14:paraId="0BF5C1FC" w14:textId="77777777" w:rsidR="00EA6C8A" w:rsidRDefault="00EA6C8A" w:rsidP="006561F7">
      <w:pPr>
        <w:spacing w:after="0" w:line="480" w:lineRule="auto"/>
        <w:jc w:val="both"/>
        <w:rPr>
          <w:rFonts w:ascii="Arial" w:hAnsi="Arial" w:cs="Arial"/>
          <w:sz w:val="28"/>
          <w:szCs w:val="28"/>
          <w:lang w:val="el-GR"/>
        </w:rPr>
      </w:pPr>
    </w:p>
    <w:p w14:paraId="4E7B44F6" w14:textId="7D522F44" w:rsidR="00EA6C8A" w:rsidRPr="00EC0BDF" w:rsidRDefault="00EA6C8A"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Φαίνεται ότι το αίτημα του Αιτητή για διεθνή προστασία δεν εξετάστηκε</w:t>
      </w:r>
      <w:r w:rsidR="00DE43DB">
        <w:rPr>
          <w:rFonts w:ascii="Arial" w:hAnsi="Arial" w:cs="Arial"/>
          <w:sz w:val="28"/>
          <w:szCs w:val="28"/>
          <w:lang w:val="el-GR"/>
        </w:rPr>
        <w:t>, αλλά ακολουθήθηκε μια άλλη πορεία με την ένταξη του στο το πρόγραμμα επανεγκατάστασης.</w:t>
      </w:r>
      <w:r w:rsidR="00772346">
        <w:rPr>
          <w:rFonts w:ascii="Arial" w:hAnsi="Arial" w:cs="Arial"/>
          <w:sz w:val="28"/>
          <w:szCs w:val="28"/>
          <w:lang w:val="el-GR"/>
        </w:rPr>
        <w:t xml:space="preserve">  Πότε έγινε αυτό δεν διευκρινίστηκε.  Ούτε αναφέρθηκε κατά πόσο πριν την ένταξη του στο πρόγραμμα το αίτημα του για διεθνή προστασία </w:t>
      </w:r>
      <w:r w:rsidR="00FF2C2A">
        <w:rPr>
          <w:rFonts w:ascii="Arial" w:hAnsi="Arial" w:cs="Arial"/>
          <w:sz w:val="28"/>
          <w:szCs w:val="28"/>
          <w:lang w:val="el-GR"/>
        </w:rPr>
        <w:t>έτυχε οιασδήποτε εξέτασης</w:t>
      </w:r>
      <w:r w:rsidR="00772346">
        <w:rPr>
          <w:rFonts w:ascii="Arial" w:hAnsi="Arial" w:cs="Arial"/>
          <w:sz w:val="28"/>
          <w:szCs w:val="28"/>
          <w:lang w:val="el-GR"/>
        </w:rPr>
        <w:t>.</w:t>
      </w:r>
      <w:r w:rsidR="00DE43DB">
        <w:rPr>
          <w:rFonts w:ascii="Arial" w:hAnsi="Arial" w:cs="Arial"/>
          <w:sz w:val="28"/>
          <w:szCs w:val="28"/>
          <w:lang w:val="el-GR"/>
        </w:rPr>
        <w:t xml:space="preserve">  Η Δημοκρατία υποστηρίζει ότι ο Αιτητής είχε υπογράψει σχετικό έντυπο και εθελούσια εντάχτηκε στο πρόγραμμα αυτό.  Η επισύναψη συναφούς εγγράφου στην αγόρευση της Δημοκρατίας δεν μπορεί να ληφθεί υπόψη, ούτε ότι το έγγραφο αποτελεί μέρος του</w:t>
      </w:r>
      <w:r w:rsidR="00DE43DB" w:rsidRPr="00DE43DB">
        <w:rPr>
          <w:rFonts w:ascii="Arial" w:hAnsi="Arial" w:cs="Arial"/>
          <w:sz w:val="28"/>
          <w:szCs w:val="28"/>
          <w:lang w:val="el-GR"/>
        </w:rPr>
        <w:t xml:space="preserve"> </w:t>
      </w:r>
      <w:r w:rsidR="00DE43DB">
        <w:rPr>
          <w:rFonts w:ascii="Arial" w:hAnsi="Arial" w:cs="Arial"/>
          <w:sz w:val="28"/>
          <w:szCs w:val="28"/>
          <w:lang w:val="el-GR"/>
        </w:rPr>
        <w:t>διοικητικού φακέλου της ΥΠΑΣ για τον Αιτητή, εφόσον ο φάκελος δεν παρουσιάστηκε.</w:t>
      </w:r>
    </w:p>
    <w:p w14:paraId="42D866A6" w14:textId="77777777" w:rsidR="00DE43DB" w:rsidRDefault="00DE43DB" w:rsidP="006561F7">
      <w:pPr>
        <w:spacing w:after="0" w:line="480" w:lineRule="auto"/>
        <w:jc w:val="both"/>
        <w:rPr>
          <w:rFonts w:ascii="Arial" w:hAnsi="Arial" w:cs="Arial"/>
          <w:sz w:val="28"/>
          <w:szCs w:val="28"/>
          <w:lang w:val="el-GR"/>
        </w:rPr>
      </w:pPr>
    </w:p>
    <w:p w14:paraId="6D70A178" w14:textId="55CB3C7F" w:rsidR="00D74F2F" w:rsidRDefault="00532B7F"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1455E3">
        <w:rPr>
          <w:rFonts w:ascii="Arial" w:hAnsi="Arial" w:cs="Arial"/>
          <w:sz w:val="28"/>
          <w:szCs w:val="28"/>
          <w:lang w:val="el-GR"/>
        </w:rPr>
        <w:t>Π</w:t>
      </w:r>
      <w:r>
        <w:rPr>
          <w:rFonts w:ascii="Arial" w:hAnsi="Arial" w:cs="Arial"/>
          <w:sz w:val="28"/>
          <w:szCs w:val="28"/>
          <w:lang w:val="el-GR"/>
        </w:rPr>
        <w:t xml:space="preserve">ροκύπτει ότι σε σχέση με τον Αιτητή υπήρξε μαρτυρία, όπως εξηγήθηκε, ότι ήταν ή και είναι μέλος τρομοκρατικής οργάνωσης.  Δεν </w:t>
      </w:r>
      <w:r>
        <w:rPr>
          <w:rFonts w:ascii="Arial" w:hAnsi="Arial" w:cs="Arial"/>
          <w:sz w:val="28"/>
          <w:szCs w:val="28"/>
          <w:lang w:val="el-GR"/>
        </w:rPr>
        <w:lastRenderedPageBreak/>
        <w:t xml:space="preserve">έχει η πληροφορία επαληθευτεί, ούτε φαίνεται να έγινε οιαδήποτε ενέργεια προς αυτή την κατεύθυνση.  Ο Αιτητής συνεχίζει να κρατείται χωρίς να γίνεται οτιδήποτε για την περίπτωση του.  Οι επανεξετάσεις του λόγου κράτησης του παρουσιάζονται να είναι τυπικής μορφής, χωρίς οτιδήποτε το ουσιαστικό και η </w:t>
      </w:r>
      <w:r w:rsidR="00612446">
        <w:rPr>
          <w:rFonts w:ascii="Arial" w:hAnsi="Arial" w:cs="Arial"/>
          <w:sz w:val="28"/>
          <w:szCs w:val="28"/>
          <w:lang w:val="el-GR"/>
        </w:rPr>
        <w:t>κράτηση</w:t>
      </w:r>
      <w:r>
        <w:rPr>
          <w:rFonts w:ascii="Arial" w:hAnsi="Arial" w:cs="Arial"/>
          <w:sz w:val="28"/>
          <w:szCs w:val="28"/>
          <w:lang w:val="el-GR"/>
        </w:rPr>
        <w:t xml:space="preserve"> του </w:t>
      </w:r>
      <w:r w:rsidR="00612446">
        <w:rPr>
          <w:rFonts w:ascii="Arial" w:hAnsi="Arial" w:cs="Arial"/>
          <w:sz w:val="28"/>
          <w:szCs w:val="28"/>
          <w:lang w:val="el-GR"/>
        </w:rPr>
        <w:t xml:space="preserve">απλά </w:t>
      </w:r>
      <w:r>
        <w:rPr>
          <w:rFonts w:ascii="Arial" w:hAnsi="Arial" w:cs="Arial"/>
          <w:sz w:val="28"/>
          <w:szCs w:val="28"/>
          <w:lang w:val="el-GR"/>
        </w:rPr>
        <w:t xml:space="preserve">συνεχίζεται.  Ο χρόνος είναι μεγάλος.  Σήμερα έχει ήδη παρέλθει ένας χρόνος και ο Αιτητής συνεχίζει να στερείται της ελευθερίας του.  </w:t>
      </w:r>
    </w:p>
    <w:p w14:paraId="2FA8DD17" w14:textId="0AB7428E" w:rsidR="000F7E71" w:rsidRDefault="000F7E71"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w:t>
      </w:r>
    </w:p>
    <w:p w14:paraId="415605AF" w14:textId="02E6CEAB" w:rsidR="00235840" w:rsidRDefault="00581B9C"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Υπάρχει και μια άλλη παράμετρος που </w:t>
      </w:r>
      <w:r w:rsidR="001455E3">
        <w:rPr>
          <w:rFonts w:ascii="Arial" w:hAnsi="Arial" w:cs="Arial"/>
          <w:sz w:val="28"/>
          <w:szCs w:val="28"/>
          <w:lang w:val="el-GR"/>
        </w:rPr>
        <w:t>έχει ιδιαίτερη σημασία</w:t>
      </w:r>
      <w:r>
        <w:rPr>
          <w:rFonts w:ascii="Arial" w:hAnsi="Arial" w:cs="Arial"/>
          <w:sz w:val="28"/>
          <w:szCs w:val="28"/>
          <w:lang w:val="el-GR"/>
        </w:rPr>
        <w:t>.  Το διάταγμα κράτησης του Αιτητή εκδόθηκε με συγκεκριμένο δικαιολογητικό και αυτό, ως η βάση για την κράτηση του δεν έχει έκτοτε αλλάξει ή διαφοροποιηθεί.  Απαιτείτο, όπως αναφέρεται, η κράτηση του για την προστασία της εθνικής ασφάλειας, επεξηγείται όμως στη συνέχεια ότι δεν ήταν εφικτό να εφαρμοστούν αποτελεσματικά άλλα λιγότερο περιοριστικά εναλλακτικά μέτρα</w:t>
      </w:r>
      <w:r w:rsidR="00113624">
        <w:rPr>
          <w:rFonts w:ascii="Arial" w:hAnsi="Arial" w:cs="Arial"/>
          <w:sz w:val="28"/>
          <w:szCs w:val="28"/>
          <w:lang w:val="el-GR"/>
        </w:rPr>
        <w:t xml:space="preserve"> καθότι υπήρχε κίνδυνος διαφυγής του επειδή δεν κατείχε ταξιδιωτικό έγγραφο ή άλλο έγγραφο ταυτότητας.</w:t>
      </w:r>
    </w:p>
    <w:p w14:paraId="62736F1B" w14:textId="77777777" w:rsidR="00772346" w:rsidRDefault="00772346" w:rsidP="006561F7">
      <w:pPr>
        <w:spacing w:after="0" w:line="480" w:lineRule="auto"/>
        <w:jc w:val="both"/>
        <w:rPr>
          <w:rFonts w:ascii="Arial" w:hAnsi="Arial" w:cs="Arial"/>
          <w:sz w:val="28"/>
          <w:szCs w:val="28"/>
          <w:lang w:val="el-GR"/>
        </w:rPr>
      </w:pPr>
    </w:p>
    <w:p w14:paraId="257299AA" w14:textId="53D96497" w:rsidR="00BA18E4" w:rsidRDefault="00113624"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Δηλαδή η κράτηση του για την προστασία της εθνικής ασφάλειας δεν διατάχτηκε γιατί κρίθηκε ότι αν παρέμενε ελεύθερος θα μπορούσε </w:t>
      </w:r>
      <w:r>
        <w:rPr>
          <w:rFonts w:ascii="Arial" w:hAnsi="Arial" w:cs="Arial"/>
          <w:sz w:val="28"/>
          <w:szCs w:val="28"/>
          <w:lang w:val="el-GR"/>
        </w:rPr>
        <w:lastRenderedPageBreak/>
        <w:t>να προβεί σε ενέργειες που θα μπορούσαν να προκαλέσουν βλάβη στην εθνική ασφάλεια, αλλά γιατί θα μπορούσε να διαφύγει.</w:t>
      </w:r>
      <w:r w:rsidR="004B4085">
        <w:rPr>
          <w:rFonts w:ascii="Arial" w:hAnsi="Arial" w:cs="Arial"/>
          <w:sz w:val="28"/>
          <w:szCs w:val="28"/>
          <w:lang w:val="el-GR"/>
        </w:rPr>
        <w:t xml:space="preserve">  Αυτό που γίνεται αντιληπτό είναι ότι εφόσον κατείχε ταξιδιωτικό έγγραφο ή άλλο έγγραφο ταυτότητας θα μπορούσε να παραμείνει ελεύθερος και </w:t>
      </w:r>
      <w:r w:rsidR="00BA18E4">
        <w:rPr>
          <w:rFonts w:ascii="Arial" w:hAnsi="Arial" w:cs="Arial"/>
          <w:sz w:val="28"/>
          <w:szCs w:val="28"/>
          <w:lang w:val="el-GR"/>
        </w:rPr>
        <w:t xml:space="preserve">ίσως </w:t>
      </w:r>
      <w:r w:rsidR="004B4085">
        <w:rPr>
          <w:rFonts w:ascii="Arial" w:hAnsi="Arial" w:cs="Arial"/>
          <w:sz w:val="28"/>
          <w:szCs w:val="28"/>
          <w:lang w:val="el-GR"/>
        </w:rPr>
        <w:t xml:space="preserve">να του </w:t>
      </w:r>
      <w:r w:rsidR="001455E3">
        <w:rPr>
          <w:rFonts w:ascii="Arial" w:hAnsi="Arial" w:cs="Arial"/>
          <w:sz w:val="28"/>
          <w:szCs w:val="28"/>
          <w:lang w:val="el-GR"/>
        </w:rPr>
        <w:t>επιβάλλονταν</w:t>
      </w:r>
      <w:r w:rsidR="004B4085">
        <w:rPr>
          <w:rFonts w:ascii="Arial" w:hAnsi="Arial" w:cs="Arial"/>
          <w:sz w:val="28"/>
          <w:szCs w:val="28"/>
          <w:lang w:val="el-GR"/>
        </w:rPr>
        <w:t xml:space="preserve"> όροι.</w:t>
      </w:r>
    </w:p>
    <w:p w14:paraId="505F921E" w14:textId="77777777" w:rsidR="00BA18E4" w:rsidRDefault="00BA18E4" w:rsidP="006561F7">
      <w:pPr>
        <w:spacing w:after="0" w:line="480" w:lineRule="auto"/>
        <w:jc w:val="both"/>
        <w:rPr>
          <w:rFonts w:ascii="Arial" w:hAnsi="Arial" w:cs="Arial"/>
          <w:sz w:val="28"/>
          <w:szCs w:val="28"/>
          <w:lang w:val="el-GR"/>
        </w:rPr>
      </w:pPr>
    </w:p>
    <w:p w14:paraId="6F6D8E28" w14:textId="48CDE4A8" w:rsidR="004B4085" w:rsidRDefault="004B4085" w:rsidP="006561F7">
      <w:pPr>
        <w:spacing w:after="0" w:line="480" w:lineRule="auto"/>
        <w:jc w:val="both"/>
        <w:rPr>
          <w:rFonts w:ascii="Arial" w:hAnsi="Arial" w:cs="Arial"/>
          <w:sz w:val="28"/>
          <w:szCs w:val="28"/>
          <w:lang w:val="el-GR"/>
        </w:rPr>
      </w:pPr>
      <w:r>
        <w:rPr>
          <w:rFonts w:ascii="Arial" w:hAnsi="Arial" w:cs="Arial"/>
          <w:sz w:val="28"/>
          <w:szCs w:val="28"/>
          <w:lang w:val="el-GR"/>
        </w:rPr>
        <w:t xml:space="preserve">    Ο Αιτητής έχει αναφέρει ότι έχει παραδώσει την συριακή του ταυτότητα στην Αστυνομία και η θέση του αυτή δεν έχει αντικρουστεί. </w:t>
      </w:r>
      <w:r w:rsidR="00BA18E4">
        <w:rPr>
          <w:rFonts w:ascii="Arial" w:hAnsi="Arial" w:cs="Arial"/>
          <w:sz w:val="28"/>
          <w:szCs w:val="28"/>
          <w:lang w:val="el-GR"/>
        </w:rPr>
        <w:t xml:space="preserve"> Δεν διευκρινίστηκε πότε παραδόθηκε το έγγραφο.</w:t>
      </w:r>
      <w:r>
        <w:rPr>
          <w:rFonts w:ascii="Arial" w:hAnsi="Arial" w:cs="Arial"/>
          <w:sz w:val="28"/>
          <w:szCs w:val="28"/>
          <w:lang w:val="el-GR"/>
        </w:rPr>
        <w:t xml:space="preserve"> </w:t>
      </w:r>
      <w:r w:rsidR="00BA18E4">
        <w:rPr>
          <w:rFonts w:ascii="Arial" w:hAnsi="Arial" w:cs="Arial"/>
          <w:sz w:val="28"/>
          <w:szCs w:val="28"/>
          <w:lang w:val="el-GR"/>
        </w:rPr>
        <w:t xml:space="preserve"> Ενδεχόμενα σε χρόνο μεταγενέστερο της έκδοσης του διατάγματος κράτησης.  Σε κάθε περίπτωση, η παράμετρος </w:t>
      </w:r>
      <w:r w:rsidR="001455E3">
        <w:rPr>
          <w:rFonts w:ascii="Arial" w:hAnsi="Arial" w:cs="Arial"/>
          <w:sz w:val="28"/>
          <w:szCs w:val="28"/>
          <w:lang w:val="el-GR"/>
        </w:rPr>
        <w:t xml:space="preserve">αυτή </w:t>
      </w:r>
      <w:r w:rsidR="00BA18E4">
        <w:rPr>
          <w:rFonts w:ascii="Arial" w:hAnsi="Arial" w:cs="Arial"/>
          <w:sz w:val="28"/>
          <w:szCs w:val="28"/>
          <w:lang w:val="el-GR"/>
        </w:rPr>
        <w:t xml:space="preserve">φαίνεται </w:t>
      </w:r>
      <w:r w:rsidR="001455E3">
        <w:rPr>
          <w:rFonts w:ascii="Arial" w:hAnsi="Arial" w:cs="Arial"/>
          <w:sz w:val="28"/>
          <w:szCs w:val="28"/>
          <w:lang w:val="el-GR"/>
        </w:rPr>
        <w:t xml:space="preserve">ότι ουδέποτε </w:t>
      </w:r>
      <w:r w:rsidR="00BA18E4">
        <w:rPr>
          <w:rFonts w:ascii="Arial" w:hAnsi="Arial" w:cs="Arial"/>
          <w:sz w:val="28"/>
          <w:szCs w:val="28"/>
          <w:lang w:val="el-GR"/>
        </w:rPr>
        <w:t xml:space="preserve">να απασχόλησε τις αρχές, παρά το ότι είχε άμεση </w:t>
      </w:r>
      <w:r>
        <w:rPr>
          <w:rFonts w:ascii="Arial" w:hAnsi="Arial" w:cs="Arial"/>
          <w:sz w:val="28"/>
          <w:szCs w:val="28"/>
          <w:lang w:val="el-GR"/>
        </w:rPr>
        <w:t xml:space="preserve">σχέση με τη νομιμότητα </w:t>
      </w:r>
      <w:r w:rsidR="00BA18E4">
        <w:rPr>
          <w:rFonts w:ascii="Arial" w:hAnsi="Arial" w:cs="Arial"/>
          <w:sz w:val="28"/>
          <w:szCs w:val="28"/>
          <w:lang w:val="el-GR"/>
        </w:rPr>
        <w:t>της συνέχισης</w:t>
      </w:r>
      <w:r>
        <w:rPr>
          <w:rFonts w:ascii="Arial" w:hAnsi="Arial" w:cs="Arial"/>
          <w:sz w:val="28"/>
          <w:szCs w:val="28"/>
          <w:lang w:val="el-GR"/>
        </w:rPr>
        <w:t xml:space="preserve"> της κράτησης του</w:t>
      </w:r>
      <w:r w:rsidR="00BA18E4">
        <w:rPr>
          <w:rFonts w:ascii="Arial" w:hAnsi="Arial" w:cs="Arial"/>
          <w:sz w:val="28"/>
          <w:szCs w:val="28"/>
          <w:lang w:val="el-GR"/>
        </w:rPr>
        <w:t xml:space="preserve"> Αιτητή</w:t>
      </w:r>
      <w:r>
        <w:rPr>
          <w:rFonts w:ascii="Arial" w:hAnsi="Arial" w:cs="Arial"/>
          <w:sz w:val="28"/>
          <w:szCs w:val="28"/>
          <w:lang w:val="el-GR"/>
        </w:rPr>
        <w:t>.</w:t>
      </w:r>
    </w:p>
    <w:p w14:paraId="65089C0B" w14:textId="77777777" w:rsidR="00612446" w:rsidRPr="006B30B4" w:rsidRDefault="00612446" w:rsidP="006561F7">
      <w:pPr>
        <w:spacing w:after="0" w:line="480" w:lineRule="auto"/>
        <w:jc w:val="both"/>
        <w:rPr>
          <w:rFonts w:ascii="Arial" w:hAnsi="Arial" w:cs="Arial"/>
          <w:sz w:val="28"/>
          <w:szCs w:val="28"/>
          <w:lang w:val="el-GR"/>
        </w:rPr>
      </w:pPr>
    </w:p>
    <w:p w14:paraId="32A5A546" w14:textId="12A61D30" w:rsidR="00E00EC5" w:rsidRDefault="00693955" w:rsidP="006B30B4">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00D74F2F">
        <w:rPr>
          <w:rFonts w:ascii="Arial" w:hAnsi="Arial" w:cs="Arial"/>
          <w:sz w:val="28"/>
          <w:szCs w:val="28"/>
          <w:lang w:val="el-GR"/>
        </w:rPr>
        <w:t xml:space="preserve">Η αναγκαιότητα της συνέχισης της κράτησης </w:t>
      </w:r>
      <w:r w:rsidR="006C6F5D">
        <w:rPr>
          <w:rFonts w:ascii="Arial" w:hAnsi="Arial" w:cs="Arial"/>
          <w:sz w:val="28"/>
          <w:szCs w:val="28"/>
          <w:lang w:val="el-GR"/>
        </w:rPr>
        <w:t xml:space="preserve">του Αιτητή </w:t>
      </w:r>
      <w:r w:rsidR="00D74F2F">
        <w:rPr>
          <w:rFonts w:ascii="Arial" w:hAnsi="Arial" w:cs="Arial"/>
          <w:sz w:val="28"/>
          <w:szCs w:val="28"/>
          <w:lang w:val="el-GR"/>
        </w:rPr>
        <w:t>δεν έχει τεκμηριωθεί</w:t>
      </w:r>
      <w:r>
        <w:rPr>
          <w:rFonts w:ascii="Arial" w:hAnsi="Arial" w:cs="Arial"/>
          <w:sz w:val="28"/>
          <w:szCs w:val="28"/>
          <w:lang w:val="el-GR"/>
        </w:rPr>
        <w:t xml:space="preserve"> με οποιαδήποτε ουσιαστική επαναξιολόγηση που να αναδεικνύει</w:t>
      </w:r>
      <w:r w:rsidRPr="00693955">
        <w:rPr>
          <w:rFonts w:ascii="Arial" w:hAnsi="Arial" w:cs="Arial"/>
          <w:sz w:val="28"/>
          <w:szCs w:val="28"/>
          <w:lang w:val="el-GR"/>
        </w:rPr>
        <w:t xml:space="preserve"> </w:t>
      </w:r>
      <w:r>
        <w:rPr>
          <w:rFonts w:ascii="Arial" w:hAnsi="Arial" w:cs="Arial"/>
          <w:sz w:val="28"/>
          <w:szCs w:val="28"/>
          <w:lang w:val="el-GR"/>
        </w:rPr>
        <w:t>την ύπαρξη πραγματικής, ενεστώσας και αρκούντως σοβαρής απειλής κατά θεμελιώδους συμφέροντος της κοινωνίας η οποία να θεμελιώνεται αποκλειστικά στην προσωπική συμπεριφορά του.</w:t>
      </w:r>
      <w:r w:rsidR="00DE43DB">
        <w:rPr>
          <w:rFonts w:ascii="Arial" w:hAnsi="Arial" w:cs="Arial"/>
          <w:sz w:val="28"/>
          <w:szCs w:val="28"/>
          <w:lang w:val="el-GR"/>
        </w:rPr>
        <w:t xml:space="preserve">  Ιδιαίτερα λαμβανομένου υπόψη πως ό,τι ανησυχούσε τις αρχές </w:t>
      </w:r>
      <w:r w:rsidR="00DE43DB">
        <w:rPr>
          <w:rFonts w:ascii="Arial" w:hAnsi="Arial" w:cs="Arial"/>
          <w:sz w:val="28"/>
          <w:szCs w:val="28"/>
          <w:lang w:val="el-GR"/>
        </w:rPr>
        <w:lastRenderedPageBreak/>
        <w:t>ήταν το ενδεχόμενο ο Αιτητής να διαφύγει.</w:t>
      </w:r>
      <w:r w:rsidR="006C6F5D">
        <w:rPr>
          <w:rFonts w:ascii="Arial" w:hAnsi="Arial" w:cs="Arial"/>
          <w:sz w:val="28"/>
          <w:szCs w:val="28"/>
          <w:lang w:val="el-GR"/>
        </w:rPr>
        <w:t xml:space="preserve">  Ενέργειες για την εξέταση του αιτήματος του για διεθνή προστασία δεν μαρτυρήθηκαν</w:t>
      </w:r>
      <w:r w:rsidR="006C6F5D" w:rsidRPr="006C6F5D">
        <w:rPr>
          <w:rFonts w:ascii="Arial" w:hAnsi="Arial" w:cs="Arial"/>
          <w:sz w:val="28"/>
          <w:szCs w:val="28"/>
          <w:lang w:val="el-GR"/>
        </w:rPr>
        <w:t xml:space="preserve"> </w:t>
      </w:r>
      <w:r w:rsidR="006C6F5D">
        <w:rPr>
          <w:rFonts w:ascii="Arial" w:hAnsi="Arial" w:cs="Arial"/>
          <w:sz w:val="28"/>
          <w:szCs w:val="28"/>
          <w:lang w:val="el-GR"/>
        </w:rPr>
        <w:t xml:space="preserve">με αποτέλεσμα να μην υπάρχει στην περίπτωση του συμμόρφωση με τη νομοθεσία όπως </w:t>
      </w:r>
      <w:r w:rsidR="00F45E97">
        <w:rPr>
          <w:rFonts w:ascii="Arial" w:hAnsi="Arial" w:cs="Arial"/>
          <w:color w:val="000000"/>
          <w:sz w:val="28"/>
          <w:szCs w:val="28"/>
          <w:lang w:val="el-GR"/>
        </w:rPr>
        <w:t>«</w:t>
      </w:r>
      <w:r w:rsidR="00F45E97">
        <w:rPr>
          <w:rFonts w:ascii="Arial" w:hAnsi="Arial" w:cs="Arial"/>
          <w:i/>
          <w:iCs/>
          <w:color w:val="000000"/>
          <w:sz w:val="28"/>
          <w:szCs w:val="28"/>
          <w:lang w:val="el-GR"/>
        </w:rPr>
        <w:t>Οι διοικητικές διαδικασίες … εκτελούνται χωρίς περιττές καθυστερήσεις</w:t>
      </w:r>
      <w:r w:rsidR="00F45E97">
        <w:rPr>
          <w:rFonts w:ascii="Arial" w:hAnsi="Arial" w:cs="Arial"/>
          <w:sz w:val="28"/>
          <w:szCs w:val="28"/>
          <w:lang w:val="el-GR"/>
        </w:rPr>
        <w:t xml:space="preserve">»  και αναπόφευκτη συνέπεια </w:t>
      </w:r>
      <w:r w:rsidR="006C6F5D">
        <w:rPr>
          <w:rFonts w:ascii="Arial" w:hAnsi="Arial" w:cs="Arial"/>
          <w:sz w:val="28"/>
          <w:szCs w:val="28"/>
          <w:lang w:val="el-GR"/>
        </w:rPr>
        <w:t xml:space="preserve">η κράτηση </w:t>
      </w:r>
      <w:r w:rsidR="00F45E97">
        <w:rPr>
          <w:rFonts w:ascii="Arial" w:hAnsi="Arial" w:cs="Arial"/>
          <w:sz w:val="28"/>
          <w:szCs w:val="28"/>
          <w:lang w:val="el-GR"/>
        </w:rPr>
        <w:t>του να μην</w:t>
      </w:r>
      <w:r w:rsidR="006C6F5D">
        <w:rPr>
          <w:rFonts w:ascii="Arial" w:hAnsi="Arial" w:cs="Arial"/>
          <w:i/>
          <w:color w:val="000000"/>
          <w:sz w:val="28"/>
          <w:szCs w:val="28"/>
          <w:lang w:val="el-GR"/>
        </w:rPr>
        <w:t xml:space="preserve"> </w:t>
      </w:r>
      <w:r w:rsidR="006C6F5D">
        <w:rPr>
          <w:rFonts w:ascii="Arial" w:hAnsi="Arial" w:cs="Arial"/>
          <w:iCs/>
          <w:color w:val="000000"/>
          <w:sz w:val="28"/>
          <w:szCs w:val="28"/>
          <w:lang w:val="el-GR"/>
        </w:rPr>
        <w:t>«</w:t>
      </w:r>
      <w:r w:rsidR="006C6F5D">
        <w:rPr>
          <w:rFonts w:ascii="Arial" w:hAnsi="Arial" w:cs="Arial"/>
          <w:i/>
          <w:color w:val="000000"/>
          <w:sz w:val="28"/>
          <w:szCs w:val="28"/>
          <w:lang w:val="el-GR"/>
        </w:rPr>
        <w:t>έχει τη μικρότερη δυνατή διάρκεια</w:t>
      </w:r>
      <w:r w:rsidR="006C6F5D">
        <w:rPr>
          <w:rFonts w:ascii="Arial" w:hAnsi="Arial" w:cs="Arial"/>
          <w:iCs/>
          <w:color w:val="000000"/>
          <w:sz w:val="28"/>
          <w:szCs w:val="28"/>
          <w:lang w:val="el-GR"/>
        </w:rPr>
        <w:t>»</w:t>
      </w:r>
      <w:r w:rsidR="00F45E97">
        <w:rPr>
          <w:rFonts w:ascii="Arial" w:hAnsi="Arial" w:cs="Arial"/>
          <w:iCs/>
          <w:color w:val="000000"/>
          <w:sz w:val="28"/>
          <w:szCs w:val="28"/>
          <w:lang w:val="el-GR"/>
        </w:rPr>
        <w:t xml:space="preserve">.  </w:t>
      </w:r>
      <w:r w:rsidR="006C6F5D">
        <w:rPr>
          <w:rFonts w:ascii="Arial" w:hAnsi="Arial" w:cs="Arial"/>
          <w:sz w:val="28"/>
          <w:szCs w:val="28"/>
          <w:lang w:val="el-GR"/>
        </w:rPr>
        <w:t xml:space="preserve">Αντίθετα, </w:t>
      </w:r>
      <w:r w:rsidR="00F45E97">
        <w:rPr>
          <w:rFonts w:ascii="Arial" w:hAnsi="Arial" w:cs="Arial"/>
          <w:sz w:val="28"/>
          <w:szCs w:val="28"/>
          <w:lang w:val="el-GR"/>
        </w:rPr>
        <w:t xml:space="preserve">η διάρκεια της κράτησης του </w:t>
      </w:r>
      <w:r w:rsidR="006C6F5D">
        <w:rPr>
          <w:rFonts w:ascii="Arial" w:hAnsi="Arial" w:cs="Arial"/>
          <w:sz w:val="28"/>
          <w:szCs w:val="28"/>
          <w:lang w:val="el-GR"/>
        </w:rPr>
        <w:t>έχει</w:t>
      </w:r>
      <w:r w:rsidR="00F45E97">
        <w:rPr>
          <w:rFonts w:ascii="Arial" w:hAnsi="Arial" w:cs="Arial"/>
          <w:sz w:val="28"/>
          <w:szCs w:val="28"/>
          <w:lang w:val="el-GR"/>
        </w:rPr>
        <w:t xml:space="preserve"> </w:t>
      </w:r>
      <w:r w:rsidR="006C6F5D">
        <w:rPr>
          <w:rFonts w:ascii="Arial" w:hAnsi="Arial" w:cs="Arial"/>
          <w:sz w:val="28"/>
          <w:szCs w:val="28"/>
          <w:lang w:val="el-GR"/>
        </w:rPr>
        <w:t>καταστεί αδικαιολόγητα παρατεταμένη και ως αποτέλεσμα παράνομη.</w:t>
      </w:r>
    </w:p>
    <w:p w14:paraId="396D5D07" w14:textId="77777777" w:rsidR="00E110CA" w:rsidRDefault="00E110CA" w:rsidP="006B30B4">
      <w:pPr>
        <w:spacing w:after="0" w:line="480" w:lineRule="auto"/>
        <w:jc w:val="both"/>
        <w:rPr>
          <w:rFonts w:ascii="Arial" w:hAnsi="Arial" w:cs="Arial"/>
          <w:sz w:val="28"/>
          <w:szCs w:val="28"/>
          <w:lang w:val="el-GR"/>
        </w:rPr>
      </w:pPr>
    </w:p>
    <w:p w14:paraId="4303CCFD" w14:textId="5121A43A" w:rsidR="00E110CA" w:rsidRDefault="00E110CA" w:rsidP="00E110CA">
      <w:pPr>
        <w:spacing w:after="0" w:line="480" w:lineRule="auto"/>
        <w:jc w:val="both"/>
        <w:rPr>
          <w:rFonts w:ascii="Arial" w:hAnsi="Arial" w:cs="Arial"/>
          <w:sz w:val="28"/>
          <w:szCs w:val="28"/>
          <w:lang w:val="el-GR"/>
        </w:rPr>
      </w:pPr>
      <w:r>
        <w:rPr>
          <w:rFonts w:ascii="Arial" w:hAnsi="Arial" w:cs="Arial"/>
          <w:sz w:val="28"/>
          <w:szCs w:val="28"/>
          <w:lang w:val="el-GR"/>
        </w:rPr>
        <w:t xml:space="preserve">    </w:t>
      </w:r>
      <w:r w:rsidRPr="00E110CA">
        <w:rPr>
          <w:rFonts w:ascii="Arial" w:hAnsi="Arial" w:cs="Arial"/>
          <w:sz w:val="28"/>
          <w:szCs w:val="28"/>
          <w:lang w:val="el-GR"/>
        </w:rPr>
        <w:t xml:space="preserve">Η αίτηση εγκρίνεται.  </w:t>
      </w:r>
      <w:r w:rsidR="00F45E97">
        <w:rPr>
          <w:rFonts w:ascii="Arial" w:hAnsi="Arial" w:cs="Arial"/>
          <w:sz w:val="28"/>
          <w:szCs w:val="28"/>
          <w:lang w:val="el-GR"/>
        </w:rPr>
        <w:t xml:space="preserve">Εκδίδεται προνομιακό ένταλμα </w:t>
      </w:r>
      <w:r w:rsidR="00F45E97">
        <w:rPr>
          <w:rFonts w:ascii="Arial" w:hAnsi="Arial" w:cs="Arial"/>
          <w:sz w:val="28"/>
          <w:szCs w:val="28"/>
          <w:lang w:val="en-US"/>
        </w:rPr>
        <w:t>Habeas</w:t>
      </w:r>
      <w:r w:rsidR="00F45E97">
        <w:rPr>
          <w:rFonts w:ascii="Arial" w:hAnsi="Arial" w:cs="Arial"/>
          <w:sz w:val="28"/>
          <w:szCs w:val="28"/>
          <w:lang w:val="el-GR"/>
        </w:rPr>
        <w:t xml:space="preserve"> </w:t>
      </w:r>
      <w:r w:rsidR="00F45E97">
        <w:rPr>
          <w:rFonts w:ascii="Arial" w:hAnsi="Arial" w:cs="Arial"/>
          <w:sz w:val="28"/>
          <w:szCs w:val="28"/>
          <w:lang w:val="en-US"/>
        </w:rPr>
        <w:t>Corpus</w:t>
      </w:r>
      <w:r w:rsidR="00F45E97">
        <w:rPr>
          <w:rFonts w:ascii="Arial" w:hAnsi="Arial" w:cs="Arial"/>
          <w:sz w:val="28"/>
          <w:szCs w:val="28"/>
          <w:lang w:val="el-GR"/>
        </w:rPr>
        <w:t xml:space="preserve"> </w:t>
      </w:r>
      <w:r w:rsidR="00F45E97">
        <w:rPr>
          <w:rFonts w:ascii="Arial" w:hAnsi="Arial" w:cs="Arial"/>
          <w:sz w:val="28"/>
          <w:szCs w:val="28"/>
          <w:lang w:val="en-US"/>
        </w:rPr>
        <w:t>Ad</w:t>
      </w:r>
      <w:r w:rsidR="00F45E97">
        <w:rPr>
          <w:rFonts w:ascii="Arial" w:hAnsi="Arial" w:cs="Arial"/>
          <w:sz w:val="28"/>
          <w:szCs w:val="28"/>
          <w:lang w:val="el-GR"/>
        </w:rPr>
        <w:t xml:space="preserve"> </w:t>
      </w:r>
      <w:r w:rsidR="00F45E97">
        <w:rPr>
          <w:rFonts w:ascii="Arial" w:hAnsi="Arial" w:cs="Arial"/>
          <w:sz w:val="28"/>
          <w:szCs w:val="28"/>
          <w:lang w:val="en-US"/>
        </w:rPr>
        <w:t>Subjiciendum</w:t>
      </w:r>
      <w:r w:rsidR="00F45E97">
        <w:rPr>
          <w:rFonts w:ascii="Arial" w:hAnsi="Arial" w:cs="Arial"/>
          <w:sz w:val="28"/>
          <w:szCs w:val="28"/>
          <w:lang w:val="el-GR"/>
        </w:rPr>
        <w:t xml:space="preserve"> και διατάσσεται όπως ο</w:t>
      </w:r>
      <w:r w:rsidRPr="00E110CA">
        <w:rPr>
          <w:rFonts w:ascii="Arial" w:hAnsi="Arial" w:cs="Arial"/>
          <w:sz w:val="28"/>
          <w:szCs w:val="28"/>
          <w:lang w:val="el-GR"/>
        </w:rPr>
        <w:t xml:space="preserve"> Αιτητής αφεθεί ελεύθερος. </w:t>
      </w:r>
      <w:r w:rsidR="00F45E97">
        <w:rPr>
          <w:rFonts w:ascii="Arial" w:hAnsi="Arial" w:cs="Arial"/>
          <w:sz w:val="28"/>
          <w:szCs w:val="28"/>
          <w:lang w:val="el-GR"/>
        </w:rPr>
        <w:t xml:space="preserve"> </w:t>
      </w:r>
    </w:p>
    <w:p w14:paraId="36C794CB" w14:textId="03DBD351" w:rsidR="00E110CA" w:rsidRDefault="00E110CA" w:rsidP="006B30B4">
      <w:pPr>
        <w:spacing w:after="0" w:line="480" w:lineRule="auto"/>
        <w:jc w:val="both"/>
        <w:rPr>
          <w:rFonts w:ascii="Arial" w:hAnsi="Arial" w:cs="Arial"/>
          <w:sz w:val="28"/>
          <w:szCs w:val="28"/>
          <w:lang w:val="el-GR"/>
        </w:rPr>
      </w:pPr>
    </w:p>
    <w:p w14:paraId="04CCF133" w14:textId="77777777" w:rsidR="00BA18E4" w:rsidRDefault="00BA18E4" w:rsidP="006B30B4">
      <w:pPr>
        <w:spacing w:after="0" w:line="480" w:lineRule="auto"/>
        <w:jc w:val="both"/>
        <w:rPr>
          <w:rFonts w:ascii="Arial" w:hAnsi="Arial" w:cs="Arial"/>
          <w:sz w:val="28"/>
          <w:szCs w:val="28"/>
          <w:lang w:val="el-GR"/>
        </w:rPr>
      </w:pPr>
    </w:p>
    <w:p w14:paraId="57A7D0EC" w14:textId="77777777" w:rsidR="00BA18E4" w:rsidRDefault="00BA18E4" w:rsidP="007D227B">
      <w:pPr>
        <w:spacing w:after="0" w:line="480" w:lineRule="auto"/>
        <w:jc w:val="both"/>
        <w:rPr>
          <w:rFonts w:ascii="Arial" w:hAnsi="Arial" w:cs="Arial"/>
          <w:sz w:val="28"/>
          <w:szCs w:val="28"/>
          <w:lang w:val="el-GR"/>
        </w:rPr>
      </w:pPr>
    </w:p>
    <w:p w14:paraId="0E3F6041" w14:textId="77777777" w:rsidR="00BA18E4" w:rsidRDefault="00BA18E4" w:rsidP="007D227B">
      <w:pPr>
        <w:spacing w:after="0" w:line="480" w:lineRule="auto"/>
        <w:jc w:val="both"/>
        <w:rPr>
          <w:rFonts w:ascii="Arial" w:hAnsi="Arial" w:cs="Arial"/>
          <w:sz w:val="28"/>
          <w:szCs w:val="28"/>
          <w:lang w:val="el-GR"/>
        </w:rPr>
      </w:pPr>
    </w:p>
    <w:p w14:paraId="3E39FC4A" w14:textId="5C06DC54" w:rsidR="00DC256E" w:rsidRDefault="000F2B1B" w:rsidP="007D227B">
      <w:pPr>
        <w:spacing w:after="0" w:line="480" w:lineRule="auto"/>
        <w:jc w:val="both"/>
        <w:rPr>
          <w:rFonts w:ascii="Arial" w:hAnsi="Arial" w:cs="Arial"/>
          <w:sz w:val="16"/>
          <w:szCs w:val="16"/>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Μαλαχτός, Δ.</w:t>
      </w:r>
    </w:p>
    <w:sectPr w:rsidR="00DC256E" w:rsidSect="00E05102">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E914" w14:textId="77777777" w:rsidR="00960489" w:rsidRDefault="00960489" w:rsidP="00E05102">
      <w:pPr>
        <w:spacing w:after="0" w:line="240" w:lineRule="auto"/>
      </w:pPr>
      <w:r>
        <w:separator/>
      </w:r>
    </w:p>
  </w:endnote>
  <w:endnote w:type="continuationSeparator" w:id="0">
    <w:p w14:paraId="794718D2" w14:textId="77777777" w:rsidR="00960489" w:rsidRDefault="00960489" w:rsidP="00E0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B7B7" w14:textId="77777777" w:rsidR="00C61743" w:rsidRDefault="00C61743">
    <w:pPr>
      <w:pStyle w:val="Footer"/>
      <w:jc w:val="center"/>
    </w:pPr>
  </w:p>
  <w:p w14:paraId="64F1ACDD" w14:textId="77777777" w:rsidR="00C61743" w:rsidRDefault="00C617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0501" w14:textId="77777777" w:rsidR="00960489" w:rsidRDefault="00960489" w:rsidP="00E05102">
      <w:pPr>
        <w:spacing w:after="0" w:line="240" w:lineRule="auto"/>
      </w:pPr>
      <w:r>
        <w:separator/>
      </w:r>
    </w:p>
  </w:footnote>
  <w:footnote w:type="continuationSeparator" w:id="0">
    <w:p w14:paraId="74A33385" w14:textId="77777777" w:rsidR="00960489" w:rsidRDefault="00960489" w:rsidP="00E05102">
      <w:pPr>
        <w:spacing w:after="0" w:line="240" w:lineRule="auto"/>
      </w:pPr>
      <w:r>
        <w:continuationSeparator/>
      </w:r>
    </w:p>
  </w:footnote>
  <w:footnote w:id="1">
    <w:p w14:paraId="7D45317A" w14:textId="02EA3617" w:rsidR="004D0BAD" w:rsidRPr="004D0BAD" w:rsidRDefault="004D0BAD" w:rsidP="004D0BAD">
      <w:pPr>
        <w:pStyle w:val="FootnoteText"/>
        <w:jc w:val="both"/>
        <w:rPr>
          <w:rFonts w:ascii="Arial" w:hAnsi="Arial" w:cs="Arial"/>
          <w:lang w:val="el-GR"/>
        </w:rPr>
      </w:pPr>
      <w:r w:rsidRPr="004D0BAD">
        <w:rPr>
          <w:rStyle w:val="FootnoteReference"/>
          <w:rFonts w:ascii="Arial" w:hAnsi="Arial" w:cs="Arial"/>
        </w:rPr>
        <w:footnoteRef/>
      </w:r>
      <w:r w:rsidRPr="004D0BAD">
        <w:rPr>
          <w:rFonts w:ascii="Arial" w:hAnsi="Arial" w:cs="Arial"/>
          <w:lang w:val="el-GR"/>
        </w:rPr>
        <w:t xml:space="preserve"> </w:t>
      </w:r>
      <w:r w:rsidRPr="004D0BAD">
        <w:rPr>
          <w:rFonts w:ascii="Arial" w:hAnsi="Arial" w:cs="Arial"/>
          <w:i/>
          <w:lang w:val="el-GR"/>
        </w:rPr>
        <w:t>άρθρο 29</w:t>
      </w:r>
      <w:r w:rsidRPr="004D0BAD">
        <w:rPr>
          <w:rFonts w:ascii="Arial" w:hAnsi="Arial" w:cs="Arial"/>
          <w:iCs/>
          <w:lang w:val="el-GR"/>
        </w:rPr>
        <w:t xml:space="preserve"> του </w:t>
      </w:r>
      <w:r w:rsidRPr="004D0BAD">
        <w:rPr>
          <w:rFonts w:ascii="Arial" w:hAnsi="Arial" w:cs="Arial"/>
          <w:i/>
          <w:lang w:val="el-GR"/>
        </w:rPr>
        <w:t>περί Δικαιώματος των Πολιτών της Ένωσης και των Μελών των Οικογενειών τους να Κυκλοφορούν και να Διαμένουν Ελεύθερα στη Δημοκρατία Νόμου</w:t>
      </w:r>
      <w:r w:rsidRPr="004D0BAD">
        <w:rPr>
          <w:rFonts w:ascii="Arial" w:hAnsi="Arial" w:cs="Arial"/>
          <w:iCs/>
          <w:lang w:val="el-GR"/>
        </w:rPr>
        <w:t xml:space="preserve">, </w:t>
      </w:r>
      <w:r w:rsidRPr="004D0BAD">
        <w:rPr>
          <w:rFonts w:ascii="Arial" w:hAnsi="Arial" w:cs="Arial"/>
          <w:i/>
          <w:lang w:val="el-GR"/>
        </w:rPr>
        <w:t>Ν.7(Ι)/2007.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43105"/>
      <w:docPartObj>
        <w:docPartGallery w:val="Page Numbers (Top of Page)"/>
        <w:docPartUnique/>
      </w:docPartObj>
    </w:sdtPr>
    <w:sdtEndPr>
      <w:rPr>
        <w:noProof/>
      </w:rPr>
    </w:sdtEndPr>
    <w:sdtContent>
      <w:p w14:paraId="24B29121" w14:textId="03F95B14" w:rsidR="00C61743" w:rsidRDefault="00C61743">
        <w:pPr>
          <w:pStyle w:val="Header"/>
          <w:jc w:val="center"/>
        </w:pPr>
        <w:r>
          <w:fldChar w:fldCharType="begin"/>
        </w:r>
        <w:r>
          <w:instrText xml:space="preserve"> PAGE   \* MERGEFORMAT </w:instrText>
        </w:r>
        <w:r>
          <w:fldChar w:fldCharType="separate"/>
        </w:r>
        <w:r w:rsidR="00317747">
          <w:rPr>
            <w:noProof/>
          </w:rPr>
          <w:t>19</w:t>
        </w:r>
        <w:r>
          <w:rPr>
            <w:noProof/>
          </w:rPr>
          <w:fldChar w:fldCharType="end"/>
        </w:r>
      </w:p>
    </w:sdtContent>
  </w:sdt>
  <w:p w14:paraId="71765D40" w14:textId="77777777" w:rsidR="00C61743" w:rsidRDefault="00C617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C41"/>
    <w:multiLevelType w:val="hybridMultilevel"/>
    <w:tmpl w:val="8F3E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C43FE"/>
    <w:multiLevelType w:val="hybridMultilevel"/>
    <w:tmpl w:val="2800E9D8"/>
    <w:lvl w:ilvl="0" w:tplc="DF240A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51"/>
    <w:rsid w:val="00012DEF"/>
    <w:rsid w:val="00031DAD"/>
    <w:rsid w:val="0005423D"/>
    <w:rsid w:val="00070547"/>
    <w:rsid w:val="00082DA7"/>
    <w:rsid w:val="00086EEF"/>
    <w:rsid w:val="000871F0"/>
    <w:rsid w:val="000A74AF"/>
    <w:rsid w:val="000B115C"/>
    <w:rsid w:val="000C0C67"/>
    <w:rsid w:val="000C1097"/>
    <w:rsid w:val="000C13A1"/>
    <w:rsid w:val="000C7482"/>
    <w:rsid w:val="000E598F"/>
    <w:rsid w:val="000F2B1B"/>
    <w:rsid w:val="000F771C"/>
    <w:rsid w:val="000F7E71"/>
    <w:rsid w:val="00113624"/>
    <w:rsid w:val="0011612E"/>
    <w:rsid w:val="00116AC7"/>
    <w:rsid w:val="001175CD"/>
    <w:rsid w:val="00120F6F"/>
    <w:rsid w:val="00134EC6"/>
    <w:rsid w:val="001455E3"/>
    <w:rsid w:val="00170666"/>
    <w:rsid w:val="00174B7A"/>
    <w:rsid w:val="001826CC"/>
    <w:rsid w:val="0018712F"/>
    <w:rsid w:val="001A2198"/>
    <w:rsid w:val="001B1DE7"/>
    <w:rsid w:val="001E13C4"/>
    <w:rsid w:val="001F53EB"/>
    <w:rsid w:val="001F6AE7"/>
    <w:rsid w:val="002147FE"/>
    <w:rsid w:val="00235840"/>
    <w:rsid w:val="0025194D"/>
    <w:rsid w:val="002675A0"/>
    <w:rsid w:val="0028300B"/>
    <w:rsid w:val="00284EEE"/>
    <w:rsid w:val="002866E8"/>
    <w:rsid w:val="002A6B68"/>
    <w:rsid w:val="002B4084"/>
    <w:rsid w:val="002D5A7F"/>
    <w:rsid w:val="002E0F95"/>
    <w:rsid w:val="002F5F58"/>
    <w:rsid w:val="00317747"/>
    <w:rsid w:val="00320A77"/>
    <w:rsid w:val="00342712"/>
    <w:rsid w:val="00387F3C"/>
    <w:rsid w:val="003B3BDF"/>
    <w:rsid w:val="003C618E"/>
    <w:rsid w:val="003C6455"/>
    <w:rsid w:val="003E170E"/>
    <w:rsid w:val="00417D02"/>
    <w:rsid w:val="00425951"/>
    <w:rsid w:val="00474A25"/>
    <w:rsid w:val="00480CF4"/>
    <w:rsid w:val="0049078D"/>
    <w:rsid w:val="004B0806"/>
    <w:rsid w:val="004B158A"/>
    <w:rsid w:val="004B4085"/>
    <w:rsid w:val="004D0BAD"/>
    <w:rsid w:val="004D153F"/>
    <w:rsid w:val="004D5343"/>
    <w:rsid w:val="004E708F"/>
    <w:rsid w:val="00507757"/>
    <w:rsid w:val="00510A38"/>
    <w:rsid w:val="00521863"/>
    <w:rsid w:val="00523FE9"/>
    <w:rsid w:val="005253A5"/>
    <w:rsid w:val="005254BE"/>
    <w:rsid w:val="00526985"/>
    <w:rsid w:val="00532B7F"/>
    <w:rsid w:val="00532F6C"/>
    <w:rsid w:val="00546904"/>
    <w:rsid w:val="00547657"/>
    <w:rsid w:val="005535AD"/>
    <w:rsid w:val="005537CF"/>
    <w:rsid w:val="005567E9"/>
    <w:rsid w:val="00564513"/>
    <w:rsid w:val="00565759"/>
    <w:rsid w:val="005658AD"/>
    <w:rsid w:val="0057688D"/>
    <w:rsid w:val="005816E0"/>
    <w:rsid w:val="00581B9C"/>
    <w:rsid w:val="00585974"/>
    <w:rsid w:val="00585E28"/>
    <w:rsid w:val="005C34F8"/>
    <w:rsid w:val="005C6C07"/>
    <w:rsid w:val="005D0B65"/>
    <w:rsid w:val="005D4126"/>
    <w:rsid w:val="005D709B"/>
    <w:rsid w:val="005F4099"/>
    <w:rsid w:val="00612446"/>
    <w:rsid w:val="006275D6"/>
    <w:rsid w:val="00643660"/>
    <w:rsid w:val="006561F7"/>
    <w:rsid w:val="00657FE0"/>
    <w:rsid w:val="0066785F"/>
    <w:rsid w:val="00677CEE"/>
    <w:rsid w:val="00693955"/>
    <w:rsid w:val="006B216E"/>
    <w:rsid w:val="006B30B4"/>
    <w:rsid w:val="006B64F5"/>
    <w:rsid w:val="006B7530"/>
    <w:rsid w:val="006C6F5D"/>
    <w:rsid w:val="006D6DA7"/>
    <w:rsid w:val="006F09D5"/>
    <w:rsid w:val="0071001F"/>
    <w:rsid w:val="007141C6"/>
    <w:rsid w:val="007146FE"/>
    <w:rsid w:val="007206C7"/>
    <w:rsid w:val="00721640"/>
    <w:rsid w:val="00731017"/>
    <w:rsid w:val="00745D49"/>
    <w:rsid w:val="007504A1"/>
    <w:rsid w:val="00755AE9"/>
    <w:rsid w:val="0076602E"/>
    <w:rsid w:val="00771AA5"/>
    <w:rsid w:val="00772346"/>
    <w:rsid w:val="00782675"/>
    <w:rsid w:val="0079083F"/>
    <w:rsid w:val="00794D80"/>
    <w:rsid w:val="00795FD4"/>
    <w:rsid w:val="00797CED"/>
    <w:rsid w:val="00797DEB"/>
    <w:rsid w:val="007A60F8"/>
    <w:rsid w:val="007A7A4E"/>
    <w:rsid w:val="007D08C3"/>
    <w:rsid w:val="007D17DF"/>
    <w:rsid w:val="007D227B"/>
    <w:rsid w:val="007E166D"/>
    <w:rsid w:val="007E3C77"/>
    <w:rsid w:val="007F5B5F"/>
    <w:rsid w:val="008056C2"/>
    <w:rsid w:val="008073D6"/>
    <w:rsid w:val="00817BEF"/>
    <w:rsid w:val="00870EAC"/>
    <w:rsid w:val="00876F83"/>
    <w:rsid w:val="00882A37"/>
    <w:rsid w:val="00885524"/>
    <w:rsid w:val="008A6D56"/>
    <w:rsid w:val="008C7960"/>
    <w:rsid w:val="008E1BAC"/>
    <w:rsid w:val="008F3F69"/>
    <w:rsid w:val="008F4253"/>
    <w:rsid w:val="00901A51"/>
    <w:rsid w:val="0091452C"/>
    <w:rsid w:val="009213AD"/>
    <w:rsid w:val="009269B8"/>
    <w:rsid w:val="00954427"/>
    <w:rsid w:val="00960489"/>
    <w:rsid w:val="00986B13"/>
    <w:rsid w:val="00990FA4"/>
    <w:rsid w:val="009915D7"/>
    <w:rsid w:val="00992247"/>
    <w:rsid w:val="009A30C3"/>
    <w:rsid w:val="009A37B5"/>
    <w:rsid w:val="009A56CF"/>
    <w:rsid w:val="009C2B2D"/>
    <w:rsid w:val="009C77DC"/>
    <w:rsid w:val="009D3B65"/>
    <w:rsid w:val="009D52D4"/>
    <w:rsid w:val="009E13AE"/>
    <w:rsid w:val="00A1164F"/>
    <w:rsid w:val="00A236E2"/>
    <w:rsid w:val="00A30D48"/>
    <w:rsid w:val="00A42978"/>
    <w:rsid w:val="00A65E49"/>
    <w:rsid w:val="00A72E5E"/>
    <w:rsid w:val="00AA3300"/>
    <w:rsid w:val="00AA5A8C"/>
    <w:rsid w:val="00AA5B3D"/>
    <w:rsid w:val="00AB4645"/>
    <w:rsid w:val="00AC7A73"/>
    <w:rsid w:val="00AD5FD0"/>
    <w:rsid w:val="00AE6D30"/>
    <w:rsid w:val="00AF324B"/>
    <w:rsid w:val="00AF389C"/>
    <w:rsid w:val="00B129F1"/>
    <w:rsid w:val="00B12D89"/>
    <w:rsid w:val="00B13A27"/>
    <w:rsid w:val="00B155B3"/>
    <w:rsid w:val="00B2785A"/>
    <w:rsid w:val="00B50A53"/>
    <w:rsid w:val="00B52C0B"/>
    <w:rsid w:val="00B66F2D"/>
    <w:rsid w:val="00B7792C"/>
    <w:rsid w:val="00B82BDC"/>
    <w:rsid w:val="00BA0B15"/>
    <w:rsid w:val="00BA1677"/>
    <w:rsid w:val="00BA18E4"/>
    <w:rsid w:val="00BA34B4"/>
    <w:rsid w:val="00BD0E72"/>
    <w:rsid w:val="00BF4299"/>
    <w:rsid w:val="00C17E61"/>
    <w:rsid w:val="00C22D32"/>
    <w:rsid w:val="00C61743"/>
    <w:rsid w:val="00C76739"/>
    <w:rsid w:val="00C93D8E"/>
    <w:rsid w:val="00CA3AFF"/>
    <w:rsid w:val="00CB5214"/>
    <w:rsid w:val="00CD5C09"/>
    <w:rsid w:val="00D0795E"/>
    <w:rsid w:val="00D16634"/>
    <w:rsid w:val="00D17BF7"/>
    <w:rsid w:val="00D223CF"/>
    <w:rsid w:val="00D43D62"/>
    <w:rsid w:val="00D66321"/>
    <w:rsid w:val="00D70712"/>
    <w:rsid w:val="00D74F2F"/>
    <w:rsid w:val="00D778F9"/>
    <w:rsid w:val="00D83AF0"/>
    <w:rsid w:val="00D97E06"/>
    <w:rsid w:val="00DA2BEE"/>
    <w:rsid w:val="00DA4B06"/>
    <w:rsid w:val="00DB1129"/>
    <w:rsid w:val="00DB32E1"/>
    <w:rsid w:val="00DB4B51"/>
    <w:rsid w:val="00DC256E"/>
    <w:rsid w:val="00DC3687"/>
    <w:rsid w:val="00DE0E1B"/>
    <w:rsid w:val="00DE3561"/>
    <w:rsid w:val="00DE43DB"/>
    <w:rsid w:val="00DE57EB"/>
    <w:rsid w:val="00DF2A12"/>
    <w:rsid w:val="00DF37B6"/>
    <w:rsid w:val="00E00082"/>
    <w:rsid w:val="00E00EC5"/>
    <w:rsid w:val="00E01029"/>
    <w:rsid w:val="00E05102"/>
    <w:rsid w:val="00E0587E"/>
    <w:rsid w:val="00E110CA"/>
    <w:rsid w:val="00E1587E"/>
    <w:rsid w:val="00E2410C"/>
    <w:rsid w:val="00E25C72"/>
    <w:rsid w:val="00E34E12"/>
    <w:rsid w:val="00E53DB6"/>
    <w:rsid w:val="00E57996"/>
    <w:rsid w:val="00E60B23"/>
    <w:rsid w:val="00E65C2E"/>
    <w:rsid w:val="00E95009"/>
    <w:rsid w:val="00E970AE"/>
    <w:rsid w:val="00EA180F"/>
    <w:rsid w:val="00EA3E6A"/>
    <w:rsid w:val="00EA6C8A"/>
    <w:rsid w:val="00EB4FA8"/>
    <w:rsid w:val="00EC0BDF"/>
    <w:rsid w:val="00EE3F5B"/>
    <w:rsid w:val="00EF0C7A"/>
    <w:rsid w:val="00EF17F9"/>
    <w:rsid w:val="00F004AE"/>
    <w:rsid w:val="00F10C76"/>
    <w:rsid w:val="00F22300"/>
    <w:rsid w:val="00F27B49"/>
    <w:rsid w:val="00F45E97"/>
    <w:rsid w:val="00F556D9"/>
    <w:rsid w:val="00F5793B"/>
    <w:rsid w:val="00F57AF1"/>
    <w:rsid w:val="00F6417E"/>
    <w:rsid w:val="00F90F4F"/>
    <w:rsid w:val="00FA1853"/>
    <w:rsid w:val="00FA3E1E"/>
    <w:rsid w:val="00FA5DCB"/>
    <w:rsid w:val="00FC2445"/>
    <w:rsid w:val="00FE1EFC"/>
    <w:rsid w:val="00FF2C2A"/>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74E8"/>
  <w15:chartTrackingRefBased/>
  <w15:docId w15:val="{C244076F-5501-4BDF-9CB9-5C33908B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5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6E"/>
    <w:pPr>
      <w:ind w:left="720"/>
      <w:contextualSpacing/>
    </w:pPr>
  </w:style>
  <w:style w:type="paragraph" w:styleId="Header">
    <w:name w:val="header"/>
    <w:basedOn w:val="Normal"/>
    <w:link w:val="HeaderChar"/>
    <w:uiPriority w:val="99"/>
    <w:unhideWhenUsed/>
    <w:rsid w:val="00E051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5102"/>
    <w:rPr>
      <w:lang w:val="en-GB"/>
    </w:rPr>
  </w:style>
  <w:style w:type="paragraph" w:styleId="Footer">
    <w:name w:val="footer"/>
    <w:basedOn w:val="Normal"/>
    <w:link w:val="FooterChar"/>
    <w:uiPriority w:val="99"/>
    <w:unhideWhenUsed/>
    <w:rsid w:val="00E051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5102"/>
    <w:rPr>
      <w:lang w:val="en-GB"/>
    </w:rPr>
  </w:style>
  <w:style w:type="paragraph" w:styleId="BalloonText">
    <w:name w:val="Balloon Text"/>
    <w:basedOn w:val="Normal"/>
    <w:link w:val="BalloonTextChar"/>
    <w:uiPriority w:val="99"/>
    <w:semiHidden/>
    <w:unhideWhenUsed/>
    <w:rsid w:val="000C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67"/>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DB3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2E1"/>
    <w:rPr>
      <w:sz w:val="20"/>
      <w:szCs w:val="20"/>
      <w:lang w:val="en-GB"/>
    </w:rPr>
  </w:style>
  <w:style w:type="character" w:styleId="FootnoteReference">
    <w:name w:val="footnote reference"/>
    <w:basedOn w:val="DefaultParagraphFont"/>
    <w:uiPriority w:val="99"/>
    <w:semiHidden/>
    <w:unhideWhenUsed/>
    <w:rsid w:val="00DB3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294">
      <w:bodyDiv w:val="1"/>
      <w:marLeft w:val="0"/>
      <w:marRight w:val="0"/>
      <w:marTop w:val="0"/>
      <w:marBottom w:val="0"/>
      <w:divBdr>
        <w:top w:val="none" w:sz="0" w:space="0" w:color="auto"/>
        <w:left w:val="none" w:sz="0" w:space="0" w:color="auto"/>
        <w:bottom w:val="none" w:sz="0" w:space="0" w:color="auto"/>
        <w:right w:val="none" w:sz="0" w:space="0" w:color="auto"/>
      </w:divBdr>
    </w:div>
    <w:div w:id="124084796">
      <w:bodyDiv w:val="1"/>
      <w:marLeft w:val="0"/>
      <w:marRight w:val="0"/>
      <w:marTop w:val="0"/>
      <w:marBottom w:val="0"/>
      <w:divBdr>
        <w:top w:val="none" w:sz="0" w:space="0" w:color="auto"/>
        <w:left w:val="none" w:sz="0" w:space="0" w:color="auto"/>
        <w:bottom w:val="none" w:sz="0" w:space="0" w:color="auto"/>
        <w:right w:val="none" w:sz="0" w:space="0" w:color="auto"/>
      </w:divBdr>
    </w:div>
    <w:div w:id="727996085">
      <w:bodyDiv w:val="1"/>
      <w:marLeft w:val="0"/>
      <w:marRight w:val="0"/>
      <w:marTop w:val="0"/>
      <w:marBottom w:val="0"/>
      <w:divBdr>
        <w:top w:val="none" w:sz="0" w:space="0" w:color="auto"/>
        <w:left w:val="none" w:sz="0" w:space="0" w:color="auto"/>
        <w:bottom w:val="none" w:sz="0" w:space="0" w:color="auto"/>
        <w:right w:val="none" w:sz="0" w:space="0" w:color="auto"/>
      </w:divBdr>
    </w:div>
    <w:div w:id="975645271">
      <w:bodyDiv w:val="1"/>
      <w:marLeft w:val="0"/>
      <w:marRight w:val="0"/>
      <w:marTop w:val="0"/>
      <w:marBottom w:val="0"/>
      <w:divBdr>
        <w:top w:val="none" w:sz="0" w:space="0" w:color="auto"/>
        <w:left w:val="none" w:sz="0" w:space="0" w:color="auto"/>
        <w:bottom w:val="none" w:sz="0" w:space="0" w:color="auto"/>
        <w:right w:val="none" w:sz="0" w:space="0" w:color="auto"/>
      </w:divBdr>
    </w:div>
    <w:div w:id="1334380540">
      <w:bodyDiv w:val="1"/>
      <w:marLeft w:val="0"/>
      <w:marRight w:val="0"/>
      <w:marTop w:val="0"/>
      <w:marBottom w:val="0"/>
      <w:divBdr>
        <w:top w:val="none" w:sz="0" w:space="0" w:color="auto"/>
        <w:left w:val="none" w:sz="0" w:space="0" w:color="auto"/>
        <w:bottom w:val="none" w:sz="0" w:space="0" w:color="auto"/>
        <w:right w:val="none" w:sz="0" w:space="0" w:color="auto"/>
      </w:divBdr>
    </w:div>
    <w:div w:id="1761755898">
      <w:bodyDiv w:val="1"/>
      <w:marLeft w:val="0"/>
      <w:marRight w:val="0"/>
      <w:marTop w:val="0"/>
      <w:marBottom w:val="0"/>
      <w:divBdr>
        <w:top w:val="none" w:sz="0" w:space="0" w:color="auto"/>
        <w:left w:val="none" w:sz="0" w:space="0" w:color="auto"/>
        <w:bottom w:val="none" w:sz="0" w:space="0" w:color="auto"/>
        <w:right w:val="none" w:sz="0" w:space="0" w:color="auto"/>
      </w:divBdr>
    </w:div>
    <w:div w:id="1791361756">
      <w:bodyDiv w:val="1"/>
      <w:marLeft w:val="0"/>
      <w:marRight w:val="0"/>
      <w:marTop w:val="0"/>
      <w:marBottom w:val="0"/>
      <w:divBdr>
        <w:top w:val="none" w:sz="0" w:space="0" w:color="auto"/>
        <w:left w:val="none" w:sz="0" w:space="0" w:color="auto"/>
        <w:bottom w:val="none" w:sz="0" w:space="0" w:color="auto"/>
        <w:right w:val="none" w:sz="0" w:space="0" w:color="auto"/>
      </w:divBdr>
    </w:div>
    <w:div w:id="2036804635">
      <w:bodyDiv w:val="1"/>
      <w:marLeft w:val="0"/>
      <w:marRight w:val="0"/>
      <w:marTop w:val="0"/>
      <w:marBottom w:val="0"/>
      <w:divBdr>
        <w:top w:val="none" w:sz="0" w:space="0" w:color="auto"/>
        <w:left w:val="none" w:sz="0" w:space="0" w:color="auto"/>
        <w:bottom w:val="none" w:sz="0" w:space="0" w:color="auto"/>
        <w:right w:val="none" w:sz="0" w:space="0" w:color="auto"/>
      </w:divBdr>
    </w:div>
    <w:div w:id="21178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23D8-6B26-403F-B83B-456A2AFB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Hadjipieri  Kyriaki</cp:lastModifiedBy>
  <cp:revision>2</cp:revision>
  <cp:lastPrinted>2023-09-08T10:19:00Z</cp:lastPrinted>
  <dcterms:created xsi:type="dcterms:W3CDTF">2023-09-15T08:25:00Z</dcterms:created>
  <dcterms:modified xsi:type="dcterms:W3CDTF">2023-09-15T08:25:00Z</dcterms:modified>
</cp:coreProperties>
</file>